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jc w:val="center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והשלישי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תאריך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הגשה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רשמי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 26.10.2017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spacing w:line="360" w:lineRule="auto"/>
        <w:ind w:left="720" w:hanging="360"/>
        <w:contextualSpacing w:val="1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המזין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מגרעת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פועלים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משובש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(20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spacing w:line="360" w:lineRule="auto"/>
        <w:ind w:left="720" w:hanging="360"/>
        <w:contextualSpacing w:val="1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למחלה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(20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spacing w:line="360" w:lineRule="auto"/>
        <w:ind w:left="720" w:hanging="360"/>
        <w:contextualSpacing w:val="1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קראו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הכתבה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hyperlink r:id="rId5">
        <w:r w:rsidDel="00000000" w:rsidR="00000000" w:rsidRPr="00000000">
          <w:rPr>
            <w:rFonts w:ascii="David" w:cs="David" w:eastAsia="David" w:hAnsi="David"/>
            <w:color w:val="1155cc"/>
            <w:sz w:val="24"/>
            <w:szCs w:val="24"/>
            <w:u w:val="single"/>
            <w:rtl w:val="0"/>
          </w:rPr>
          <w:t xml:space="preserve">https://www.ynet.co.il/articles/0,7340,L-3118167,00.html</w:t>
        </w:r>
      </w:hyperlink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בגוגל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-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וידויים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מתוקן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")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נורמטיבי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צטטו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החלקים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הרלוונטיים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 (10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ההידרדרות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במצבו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הנפשי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(10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הכתבה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ובעזרת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(10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  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תארו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הצליח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להתגבר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הנפשי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נסו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טיפול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(20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ֵ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סוגי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הנפשות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שמצאר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בפסקאות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לאיזה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הסוגים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. (10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בונוס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') </w:t>
      </w:r>
    </w:p>
    <w:p w:rsidR="00000000" w:rsidDel="00000000" w:rsidP="00000000" w:rsidRDefault="00000000" w:rsidRPr="00000000">
      <w:pPr>
        <w:bidi w:val="1"/>
        <w:spacing w:line="360" w:lineRule="auto"/>
        <w:contextualSpacing w:val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חשבתם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הכתבה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הבונוס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מחמישה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משפטים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ynet.co.il/articles/0,7340,L-3118167,00.html" TargetMode="External"/></Relationships>
</file>