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9DF" w:rsidRDefault="00A029DF" w:rsidP="00A029DF">
      <w:pPr>
        <w:bidi/>
        <w:jc w:val="center"/>
        <w:rPr>
          <w:rFonts w:ascii="David" w:eastAsia="David" w:hAnsi="David" w:cs="David"/>
          <w:bCs/>
          <w:sz w:val="24"/>
          <w:szCs w:val="24"/>
          <w:rtl/>
          <w:lang w:bidi="he"/>
        </w:rPr>
      </w:pPr>
    </w:p>
    <w:p w:rsidR="00A029DF" w:rsidRDefault="00A029DF" w:rsidP="00A029DF">
      <w:pPr>
        <w:bidi/>
        <w:jc w:val="center"/>
        <w:rPr>
          <w:rFonts w:ascii="David" w:eastAsia="David" w:hAnsi="David" w:cs="David"/>
          <w:bCs/>
          <w:sz w:val="24"/>
          <w:szCs w:val="24"/>
          <w:rtl/>
          <w:lang w:bidi="he"/>
        </w:rPr>
      </w:pPr>
    </w:p>
    <w:p w:rsidR="00A029DF" w:rsidRDefault="00A029DF" w:rsidP="00A029DF">
      <w:pPr>
        <w:bidi/>
        <w:jc w:val="center"/>
        <w:rPr>
          <w:rFonts w:ascii="David" w:eastAsia="David" w:hAnsi="David" w:cs="David"/>
          <w:bCs/>
          <w:sz w:val="24"/>
          <w:szCs w:val="24"/>
          <w:rtl/>
          <w:lang w:bidi="he"/>
        </w:rPr>
      </w:pPr>
    </w:p>
    <w:p w:rsidR="00A029DF" w:rsidRDefault="00A029DF" w:rsidP="00A029DF">
      <w:pPr>
        <w:bidi/>
        <w:jc w:val="center"/>
        <w:rPr>
          <w:rFonts w:ascii="David" w:eastAsia="David" w:hAnsi="David" w:cs="David"/>
          <w:bCs/>
          <w:sz w:val="24"/>
          <w:szCs w:val="24"/>
          <w:rtl/>
          <w:lang w:bidi="he"/>
        </w:rPr>
      </w:pPr>
      <w:r w:rsidRPr="0034718C">
        <w:rPr>
          <w:rFonts w:ascii="David" w:eastAsia="David" w:hAnsi="David" w:cs="David" w:hint="cs"/>
          <w:bCs/>
          <w:sz w:val="24"/>
          <w:szCs w:val="24"/>
          <w:rtl/>
          <w:lang w:bidi="he"/>
        </w:rPr>
        <w:t>עבודה על הפרק השביעי:</w:t>
      </w:r>
    </w:p>
    <w:p w:rsidR="00A029DF" w:rsidRPr="0034718C" w:rsidRDefault="00A029DF" w:rsidP="00A029DF">
      <w:pPr>
        <w:bidi/>
        <w:rPr>
          <w:rFonts w:ascii="David" w:eastAsia="David" w:hAnsi="David" w:cs="David"/>
          <w:bCs/>
          <w:sz w:val="24"/>
          <w:szCs w:val="24"/>
          <w:rtl/>
          <w:lang w:bidi="he"/>
        </w:rPr>
      </w:pPr>
    </w:p>
    <w:p w:rsidR="00A029DF" w:rsidRDefault="00A029DF" w:rsidP="00A029DF">
      <w:pPr>
        <w:bidi/>
        <w:rPr>
          <w:rFonts w:ascii="David" w:eastAsia="David" w:hAnsi="David" w:cs="David"/>
          <w:b/>
          <w:bCs/>
          <w:sz w:val="24"/>
          <w:szCs w:val="24"/>
          <w:rtl/>
          <w:lang w:bidi="he"/>
        </w:rPr>
      </w:pPr>
      <w:r>
        <w:rPr>
          <w:rFonts w:ascii="David" w:eastAsia="David" w:hAnsi="David" w:cs="David"/>
          <w:b/>
          <w:sz w:val="24"/>
          <w:szCs w:val="24"/>
          <w:rtl/>
          <w:lang w:bidi="he"/>
        </w:rPr>
        <w:t>שאלות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: </w:t>
      </w:r>
    </w:p>
    <w:p w:rsidR="00A029DF" w:rsidRDefault="00A029DF" w:rsidP="00A029DF">
      <w:pPr>
        <w:bidi/>
        <w:spacing w:line="360" w:lineRule="auto"/>
        <w:ind w:left="-450" w:right="-450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פסקה א</w:t>
      </w:r>
      <w:r>
        <w:rPr>
          <w:rFonts w:ascii="David" w:eastAsia="David" w:hAnsi="David" w:cs="David"/>
          <w:sz w:val="24"/>
          <w:szCs w:val="24"/>
          <w:rtl/>
        </w:rPr>
        <w:t xml:space="preserve">': </w:t>
      </w:r>
    </w:p>
    <w:p w:rsidR="00A029DF" w:rsidRDefault="00A029DF" w:rsidP="00A029DF">
      <w:pPr>
        <w:numPr>
          <w:ilvl w:val="0"/>
          <w:numId w:val="2"/>
        </w:numPr>
        <w:bidi/>
        <w:spacing w:line="360" w:lineRule="auto"/>
        <w:ind w:left="-450" w:right="-450" w:firstLine="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במגילת קהלת נאמר</w:t>
      </w:r>
      <w:r>
        <w:rPr>
          <w:rFonts w:ascii="David" w:eastAsia="David" w:hAnsi="David" w:cs="David"/>
          <w:sz w:val="24"/>
          <w:szCs w:val="24"/>
          <w:rtl/>
        </w:rPr>
        <w:t>: "</w:t>
      </w:r>
      <w:r>
        <w:rPr>
          <w:rFonts w:ascii="David" w:eastAsia="David" w:hAnsi="David" w:cs="David"/>
          <w:sz w:val="24"/>
          <w:szCs w:val="24"/>
          <w:rtl/>
          <w:lang w:bidi="he"/>
        </w:rPr>
        <w:t>החכם עיניו בראשו והכסיל בחשך הולך</w:t>
      </w:r>
      <w:r>
        <w:rPr>
          <w:rFonts w:ascii="David" w:eastAsia="David" w:hAnsi="David" w:cs="David"/>
          <w:sz w:val="24"/>
          <w:szCs w:val="24"/>
          <w:rtl/>
        </w:rPr>
        <w:t>" (</w:t>
      </w:r>
      <w:r>
        <w:rPr>
          <w:rFonts w:ascii="David" w:eastAsia="David" w:hAnsi="David" w:cs="David"/>
          <w:sz w:val="24"/>
          <w:szCs w:val="24"/>
          <w:rtl/>
          <w:lang w:bidi="he"/>
        </w:rPr>
        <w:t>קהלת ב</w:t>
      </w:r>
      <w:r>
        <w:rPr>
          <w:rFonts w:ascii="David" w:eastAsia="David" w:hAnsi="David" w:cs="David"/>
          <w:sz w:val="24"/>
          <w:szCs w:val="24"/>
          <w:rtl/>
        </w:rPr>
        <w:t xml:space="preserve">' 114) </w:t>
      </w:r>
    </w:p>
    <w:p w:rsidR="00A029DF" w:rsidRDefault="00A029DF" w:rsidP="00A029DF">
      <w:pPr>
        <w:numPr>
          <w:ilvl w:val="0"/>
          <w:numId w:val="1"/>
        </w:numPr>
        <w:bidi/>
        <w:spacing w:line="360" w:lineRule="auto"/>
        <w:ind w:left="-450" w:right="-450" w:firstLine="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מה הקשר בין סכלות לחושך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</w:p>
    <w:p w:rsidR="00A029DF" w:rsidRDefault="00A029DF" w:rsidP="00A029DF">
      <w:pPr>
        <w:numPr>
          <w:ilvl w:val="0"/>
          <w:numId w:val="1"/>
        </w:numPr>
        <w:bidi/>
        <w:spacing w:line="360" w:lineRule="auto"/>
        <w:ind w:left="-450" w:right="-450" w:firstLine="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מדוע נאמר על החכם כי </w:t>
      </w:r>
      <w:r>
        <w:rPr>
          <w:rFonts w:ascii="David" w:eastAsia="David" w:hAnsi="David" w:cs="David"/>
          <w:sz w:val="24"/>
          <w:szCs w:val="24"/>
          <w:rtl/>
        </w:rPr>
        <w:t>"</w:t>
      </w:r>
      <w:r>
        <w:rPr>
          <w:rFonts w:ascii="David" w:eastAsia="David" w:hAnsi="David" w:cs="David"/>
          <w:sz w:val="24"/>
          <w:szCs w:val="24"/>
          <w:rtl/>
          <w:lang w:bidi="he"/>
        </w:rPr>
        <w:t>עיניו בראשו</w:t>
      </w:r>
      <w:r>
        <w:rPr>
          <w:rFonts w:ascii="David" w:eastAsia="David" w:hAnsi="David" w:cs="David"/>
          <w:sz w:val="24"/>
          <w:szCs w:val="24"/>
          <w:rtl/>
        </w:rPr>
        <w:t xml:space="preserve">"? </w:t>
      </w:r>
    </w:p>
    <w:p w:rsidR="00A029DF" w:rsidRDefault="00A029DF" w:rsidP="00A029DF">
      <w:pPr>
        <w:numPr>
          <w:ilvl w:val="0"/>
          <w:numId w:val="2"/>
        </w:numPr>
        <w:bidi/>
        <w:spacing w:line="360" w:lineRule="auto"/>
        <w:ind w:left="-450" w:right="-450" w:firstLine="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לפי פסקה א</w:t>
      </w:r>
      <w:r>
        <w:rPr>
          <w:rFonts w:ascii="David" w:eastAsia="David" w:hAnsi="David" w:cs="David"/>
          <w:sz w:val="24"/>
          <w:szCs w:val="24"/>
          <w:rtl/>
        </w:rPr>
        <w:t xml:space="preserve">', </w:t>
      </w:r>
      <w:r>
        <w:rPr>
          <w:rFonts w:ascii="David" w:eastAsia="David" w:hAnsi="David" w:cs="David"/>
          <w:sz w:val="24"/>
          <w:szCs w:val="24"/>
          <w:rtl/>
          <w:lang w:bidi="he"/>
        </w:rPr>
        <w:t>מה היה ההבדל בין כל הנביאים למשה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</w:p>
    <w:p w:rsidR="00A029DF" w:rsidRDefault="00A029DF" w:rsidP="00A029DF">
      <w:pPr>
        <w:bidi/>
        <w:spacing w:line="360" w:lineRule="auto"/>
        <w:ind w:left="-450" w:right="-450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פסקה ב</w:t>
      </w:r>
      <w:r>
        <w:rPr>
          <w:rFonts w:ascii="David" w:eastAsia="David" w:hAnsi="David" w:cs="David"/>
          <w:sz w:val="24"/>
          <w:szCs w:val="24"/>
          <w:rtl/>
        </w:rPr>
        <w:t xml:space="preserve">' </w:t>
      </w:r>
    </w:p>
    <w:p w:rsidR="00A029DF" w:rsidRDefault="00A029DF" w:rsidP="00A029DF">
      <w:pPr>
        <w:numPr>
          <w:ilvl w:val="0"/>
          <w:numId w:val="2"/>
        </w:numPr>
        <w:bidi/>
        <w:spacing w:line="360" w:lineRule="auto"/>
        <w:ind w:left="-450" w:right="-450" w:firstLine="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אילו מחיצות מפריעות לאדם להגיע לדרגת הנבואה</w:t>
      </w:r>
      <w:r>
        <w:rPr>
          <w:rFonts w:ascii="David" w:eastAsia="David" w:hAnsi="David" w:cs="David"/>
          <w:sz w:val="24"/>
          <w:szCs w:val="24"/>
          <w:rtl/>
        </w:rPr>
        <w:t xml:space="preserve">?  </w:t>
      </w:r>
      <w:r>
        <w:rPr>
          <w:rFonts w:ascii="David" w:eastAsia="David" w:hAnsi="David" w:cs="David"/>
          <w:sz w:val="24"/>
          <w:szCs w:val="24"/>
          <w:rtl/>
          <w:lang w:bidi="he"/>
        </w:rPr>
        <w:t>ענו לפי הכתוב בפסקה</w:t>
      </w:r>
      <w:r>
        <w:rPr>
          <w:rFonts w:ascii="David" w:eastAsia="David" w:hAnsi="David" w:cs="David"/>
          <w:sz w:val="24"/>
          <w:szCs w:val="24"/>
          <w:rtl/>
        </w:rPr>
        <w:t xml:space="preserve">.  </w:t>
      </w:r>
    </w:p>
    <w:p w:rsidR="00A029DF" w:rsidRDefault="00A029DF" w:rsidP="00A029DF">
      <w:pPr>
        <w:bidi/>
        <w:spacing w:line="360" w:lineRule="auto"/>
        <w:ind w:left="-450" w:right="-450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פסקה ג</w:t>
      </w:r>
      <w:r>
        <w:rPr>
          <w:rFonts w:ascii="David" w:eastAsia="David" w:hAnsi="David" w:cs="David"/>
          <w:sz w:val="24"/>
          <w:szCs w:val="24"/>
          <w:rtl/>
        </w:rPr>
        <w:t xml:space="preserve">' </w:t>
      </w:r>
    </w:p>
    <w:p w:rsidR="00A029DF" w:rsidRDefault="00A029DF" w:rsidP="00A029DF">
      <w:pPr>
        <w:numPr>
          <w:ilvl w:val="0"/>
          <w:numId w:val="2"/>
        </w:numPr>
        <w:bidi/>
        <w:spacing w:line="360" w:lineRule="auto"/>
        <w:ind w:left="-450" w:right="-450" w:firstLine="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proofErr w:type="spellStart"/>
      <w:r>
        <w:rPr>
          <w:rFonts w:ascii="David" w:eastAsia="David" w:hAnsi="David" w:cs="David"/>
          <w:sz w:val="24"/>
          <w:szCs w:val="24"/>
          <w:rtl/>
          <w:lang w:bidi="he"/>
        </w:rPr>
        <w:t>הרמב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"</w:t>
      </w:r>
      <w:r>
        <w:rPr>
          <w:rFonts w:ascii="David" w:eastAsia="David" w:hAnsi="David" w:cs="David"/>
          <w:sz w:val="24"/>
          <w:szCs w:val="24"/>
          <w:rtl/>
          <w:lang w:bidi="he"/>
        </w:rPr>
        <w:t>ם מתאר מעלות שכליות ומעלות אופי שהכרחיות לנבואה</w:t>
      </w:r>
      <w:r>
        <w:rPr>
          <w:rFonts w:ascii="David" w:eastAsia="David" w:hAnsi="David" w:cs="David"/>
          <w:sz w:val="24"/>
          <w:szCs w:val="24"/>
          <w:rtl/>
        </w:rPr>
        <w:t xml:space="preserve">. </w:t>
      </w:r>
    </w:p>
    <w:p w:rsidR="00A029DF" w:rsidRDefault="00A029DF" w:rsidP="00A029DF">
      <w:pPr>
        <w:numPr>
          <w:ilvl w:val="0"/>
          <w:numId w:val="4"/>
        </w:numPr>
        <w:bidi/>
        <w:spacing w:line="360" w:lineRule="auto"/>
        <w:ind w:left="-450" w:right="-450" w:firstLine="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תארו והסבירו מהם  המעלות ההכרחיות לנבואה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</w:p>
    <w:p w:rsidR="00A029DF" w:rsidRDefault="00A029DF" w:rsidP="00A029DF">
      <w:pPr>
        <w:numPr>
          <w:ilvl w:val="0"/>
          <w:numId w:val="4"/>
        </w:numPr>
        <w:bidi/>
        <w:spacing w:line="360" w:lineRule="auto"/>
        <w:ind w:left="-450" w:right="-450" w:firstLine="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הסבירו מהם המעלות האופי שאינן הכרחיות אך כדאי שיהיו</w:t>
      </w:r>
      <w:r>
        <w:rPr>
          <w:rFonts w:ascii="David" w:eastAsia="David" w:hAnsi="David" w:cs="David"/>
          <w:sz w:val="24"/>
          <w:szCs w:val="24"/>
          <w:rtl/>
        </w:rPr>
        <w:t xml:space="preserve">. </w:t>
      </w:r>
    </w:p>
    <w:p w:rsidR="00A029DF" w:rsidRDefault="00A029DF" w:rsidP="00A029DF">
      <w:pPr>
        <w:numPr>
          <w:ilvl w:val="0"/>
          <w:numId w:val="4"/>
        </w:numPr>
        <w:bidi/>
        <w:spacing w:line="360" w:lineRule="auto"/>
        <w:ind w:left="-450" w:right="-450" w:firstLine="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הציעו הסבר הגיוני  בחלוקה </w:t>
      </w:r>
      <w:r>
        <w:rPr>
          <w:rFonts w:ascii="David" w:eastAsia="David" w:hAnsi="David" w:cs="David"/>
          <w:sz w:val="24"/>
          <w:szCs w:val="24"/>
          <w:rtl/>
        </w:rPr>
        <w:t>(</w:t>
      </w:r>
      <w:r>
        <w:rPr>
          <w:rFonts w:ascii="David" w:eastAsia="David" w:hAnsi="David" w:cs="David"/>
          <w:sz w:val="24"/>
          <w:szCs w:val="24"/>
          <w:rtl/>
          <w:lang w:bidi="he"/>
        </w:rPr>
        <w:t>בין מה שהכרחי ולמה שרק מוסיף</w:t>
      </w:r>
      <w:r>
        <w:rPr>
          <w:rFonts w:ascii="David" w:eastAsia="David" w:hAnsi="David" w:cs="David"/>
          <w:sz w:val="24"/>
          <w:szCs w:val="24"/>
          <w:rtl/>
        </w:rPr>
        <w:t xml:space="preserve">) </w:t>
      </w:r>
    </w:p>
    <w:p w:rsidR="00A029DF" w:rsidRDefault="00A029DF" w:rsidP="00A029DF">
      <w:pPr>
        <w:bidi/>
        <w:spacing w:line="360" w:lineRule="auto"/>
        <w:ind w:left="-450" w:right="-450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פסקה ד</w:t>
      </w:r>
      <w:r>
        <w:rPr>
          <w:rFonts w:ascii="David" w:eastAsia="David" w:hAnsi="David" w:cs="David"/>
          <w:sz w:val="24"/>
          <w:szCs w:val="24"/>
          <w:rtl/>
        </w:rPr>
        <w:t>'</w:t>
      </w:r>
    </w:p>
    <w:p w:rsidR="00A029DF" w:rsidRDefault="00A029DF" w:rsidP="00A029DF">
      <w:pPr>
        <w:numPr>
          <w:ilvl w:val="0"/>
          <w:numId w:val="2"/>
        </w:numPr>
        <w:bidi/>
        <w:spacing w:line="360" w:lineRule="auto"/>
        <w:ind w:left="-450" w:right="-450" w:firstLine="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מגרעות האופי הפוגעות באיכות הנבואה</w:t>
      </w:r>
      <w:r>
        <w:rPr>
          <w:rFonts w:ascii="David" w:eastAsia="David" w:hAnsi="David" w:cs="David"/>
          <w:sz w:val="24"/>
          <w:szCs w:val="24"/>
          <w:rtl/>
        </w:rPr>
        <w:t xml:space="preserve">: </w:t>
      </w:r>
    </w:p>
    <w:p w:rsidR="00A029DF" w:rsidRDefault="00A029DF" w:rsidP="00A029DF">
      <w:pPr>
        <w:bidi/>
        <w:spacing w:line="360" w:lineRule="auto"/>
        <w:ind w:left="-450" w:right="-450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א</w:t>
      </w:r>
      <w:r>
        <w:rPr>
          <w:rFonts w:ascii="David" w:eastAsia="David" w:hAnsi="David" w:cs="David"/>
          <w:sz w:val="24"/>
          <w:szCs w:val="24"/>
          <w:rtl/>
        </w:rPr>
        <w:t xml:space="preserve">.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אילו אישים מציין </w:t>
      </w:r>
      <w:proofErr w:type="spellStart"/>
      <w:r>
        <w:rPr>
          <w:rFonts w:ascii="David" w:eastAsia="David" w:hAnsi="David" w:cs="David"/>
          <w:sz w:val="24"/>
          <w:szCs w:val="24"/>
          <w:rtl/>
          <w:lang w:bidi="he"/>
        </w:rPr>
        <w:t>הרמב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"</w:t>
      </w:r>
      <w:r>
        <w:rPr>
          <w:rFonts w:ascii="David" w:eastAsia="David" w:hAnsi="David" w:cs="David"/>
          <w:sz w:val="24"/>
          <w:szCs w:val="24"/>
          <w:rtl/>
          <w:lang w:bidi="he"/>
        </w:rPr>
        <w:t>ם כנביאים בפסקה זו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:rsidR="00A029DF" w:rsidRDefault="00A029DF" w:rsidP="00A029DF">
      <w:pPr>
        <w:bidi/>
        <w:spacing w:line="360" w:lineRule="auto"/>
        <w:ind w:left="-450" w:right="-450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ב</w:t>
      </w:r>
      <w:r>
        <w:rPr>
          <w:rFonts w:ascii="David" w:eastAsia="David" w:hAnsi="David" w:cs="David"/>
          <w:sz w:val="24"/>
          <w:szCs w:val="24"/>
          <w:rtl/>
        </w:rPr>
        <w:t xml:space="preserve">. </w:t>
      </w:r>
      <w:r>
        <w:rPr>
          <w:rFonts w:ascii="David" w:eastAsia="David" w:hAnsi="David" w:cs="David"/>
          <w:sz w:val="24"/>
          <w:szCs w:val="24"/>
          <w:rtl/>
          <w:lang w:bidi="he"/>
        </w:rPr>
        <w:t>אילו מגרעות היו לאותם הנביאים ובכל זאת הם הגיעו לדרגת נבואה</w:t>
      </w:r>
      <w:r>
        <w:rPr>
          <w:rFonts w:ascii="David" w:eastAsia="David" w:hAnsi="David" w:cs="David"/>
          <w:sz w:val="24"/>
          <w:szCs w:val="24"/>
          <w:rtl/>
        </w:rPr>
        <w:t xml:space="preserve">. </w:t>
      </w:r>
    </w:p>
    <w:p w:rsidR="00A029DF" w:rsidRDefault="00A029DF" w:rsidP="00A029DF">
      <w:pPr>
        <w:bidi/>
        <w:spacing w:line="360" w:lineRule="auto"/>
        <w:ind w:left="-450" w:right="-450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ג</w:t>
      </w:r>
      <w:r>
        <w:rPr>
          <w:rFonts w:ascii="David" w:eastAsia="David" w:hAnsi="David" w:cs="David"/>
          <w:sz w:val="24"/>
          <w:szCs w:val="24"/>
          <w:rtl/>
        </w:rPr>
        <w:t xml:space="preserve">. </w:t>
      </w:r>
      <w:r>
        <w:rPr>
          <w:rFonts w:ascii="David" w:eastAsia="David" w:hAnsi="David" w:cs="David"/>
          <w:sz w:val="24"/>
          <w:szCs w:val="24"/>
          <w:rtl/>
          <w:lang w:bidi="he"/>
        </w:rPr>
        <w:t>מה משותף לכל אותן מגרעות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</w:p>
    <w:p w:rsidR="00A029DF" w:rsidRDefault="00A029DF" w:rsidP="00A029DF">
      <w:pPr>
        <w:bidi/>
        <w:spacing w:line="360" w:lineRule="auto"/>
        <w:ind w:left="-450" w:right="-450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פסקה ה</w:t>
      </w:r>
      <w:r>
        <w:rPr>
          <w:rFonts w:ascii="David" w:eastAsia="David" w:hAnsi="David" w:cs="David"/>
          <w:sz w:val="24"/>
          <w:szCs w:val="24"/>
          <w:rtl/>
        </w:rPr>
        <w:t xml:space="preserve">' </w:t>
      </w:r>
    </w:p>
    <w:p w:rsidR="00A029DF" w:rsidRDefault="00A029DF" w:rsidP="00A029DF">
      <w:pPr>
        <w:numPr>
          <w:ilvl w:val="0"/>
          <w:numId w:val="2"/>
        </w:numPr>
        <w:bidi/>
        <w:spacing w:line="360" w:lineRule="auto"/>
        <w:ind w:left="-450" w:right="-450" w:firstLine="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מגרעות אופי המונעות את הנבואה</w:t>
      </w:r>
      <w:r>
        <w:rPr>
          <w:rFonts w:ascii="David" w:eastAsia="David" w:hAnsi="David" w:cs="David"/>
          <w:sz w:val="24"/>
          <w:szCs w:val="24"/>
          <w:rtl/>
        </w:rPr>
        <w:t xml:space="preserve">: </w:t>
      </w:r>
    </w:p>
    <w:p w:rsidR="00A029DF" w:rsidRDefault="00A029DF" w:rsidP="00A029DF">
      <w:pPr>
        <w:bidi/>
        <w:spacing w:line="360" w:lineRule="auto"/>
        <w:ind w:left="-450" w:right="-450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א</w:t>
      </w:r>
      <w:r>
        <w:rPr>
          <w:rFonts w:ascii="David" w:eastAsia="David" w:hAnsi="David" w:cs="David"/>
          <w:sz w:val="24"/>
          <w:szCs w:val="24"/>
          <w:rtl/>
        </w:rPr>
        <w:t xml:space="preserve">.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הסבירו מקרה אחד עליו </w:t>
      </w:r>
      <w:proofErr w:type="spellStart"/>
      <w:r>
        <w:rPr>
          <w:rFonts w:ascii="David" w:eastAsia="David" w:hAnsi="David" w:cs="David"/>
          <w:sz w:val="24"/>
          <w:szCs w:val="24"/>
          <w:rtl/>
          <w:lang w:bidi="he"/>
        </w:rPr>
        <w:t>הרמב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"</w:t>
      </w:r>
      <w:r>
        <w:rPr>
          <w:rFonts w:ascii="David" w:eastAsia="David" w:hAnsi="David" w:cs="David"/>
          <w:sz w:val="24"/>
          <w:szCs w:val="24"/>
          <w:rtl/>
          <w:lang w:bidi="he"/>
        </w:rPr>
        <w:t>ם מספר שגרם להפסקת הנבואה</w:t>
      </w:r>
      <w:r>
        <w:rPr>
          <w:rFonts w:ascii="David" w:eastAsia="David" w:hAnsi="David" w:cs="David"/>
          <w:sz w:val="24"/>
          <w:szCs w:val="24"/>
          <w:rtl/>
        </w:rPr>
        <w:t xml:space="preserve">. </w:t>
      </w:r>
      <w:r>
        <w:rPr>
          <w:rFonts w:ascii="David" w:eastAsia="David" w:hAnsi="David" w:cs="David"/>
          <w:sz w:val="24"/>
          <w:szCs w:val="24"/>
          <w:rtl/>
          <w:lang w:bidi="he"/>
        </w:rPr>
        <w:t>הסבירו מדוע</w:t>
      </w:r>
      <w:r>
        <w:rPr>
          <w:rFonts w:ascii="David" w:eastAsia="David" w:hAnsi="David" w:cs="David"/>
          <w:sz w:val="24"/>
          <w:szCs w:val="24"/>
          <w:rtl/>
        </w:rPr>
        <w:t xml:space="preserve">. </w:t>
      </w:r>
    </w:p>
    <w:p w:rsidR="00A029DF" w:rsidRDefault="00A029DF" w:rsidP="00A029DF">
      <w:pPr>
        <w:bidi/>
        <w:spacing w:line="360" w:lineRule="auto"/>
        <w:ind w:left="-450" w:right="-450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ב</w:t>
      </w:r>
      <w:r>
        <w:rPr>
          <w:rFonts w:ascii="David" w:eastAsia="David" w:hAnsi="David" w:cs="David"/>
          <w:sz w:val="24"/>
          <w:szCs w:val="24"/>
          <w:rtl/>
        </w:rPr>
        <w:t xml:space="preserve">. </w:t>
      </w:r>
      <w:proofErr w:type="spellStart"/>
      <w:r>
        <w:rPr>
          <w:rFonts w:ascii="David" w:eastAsia="David" w:hAnsi="David" w:cs="David"/>
          <w:sz w:val="24"/>
          <w:szCs w:val="24"/>
          <w:rtl/>
          <w:lang w:bidi="he"/>
        </w:rPr>
        <w:t>הרמב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"</w:t>
      </w:r>
      <w:r>
        <w:rPr>
          <w:rFonts w:ascii="David" w:eastAsia="David" w:hAnsi="David" w:cs="David"/>
          <w:sz w:val="24"/>
          <w:szCs w:val="24"/>
          <w:rtl/>
          <w:lang w:bidi="he"/>
        </w:rPr>
        <w:t>ם מציין את השמחה כמעלה של נבואה</w:t>
      </w:r>
      <w:r>
        <w:rPr>
          <w:rFonts w:ascii="David" w:eastAsia="David" w:hAnsi="David" w:cs="David"/>
          <w:sz w:val="24"/>
          <w:szCs w:val="24"/>
          <w:rtl/>
        </w:rPr>
        <w:t xml:space="preserve">. </w:t>
      </w:r>
      <w:r>
        <w:rPr>
          <w:rFonts w:ascii="David" w:eastAsia="David" w:hAnsi="David" w:cs="David"/>
          <w:sz w:val="24"/>
          <w:szCs w:val="24"/>
          <w:rtl/>
          <w:lang w:bidi="he"/>
        </w:rPr>
        <w:t>נסו להסביר מדוע</w:t>
      </w:r>
      <w:r>
        <w:rPr>
          <w:rFonts w:ascii="David" w:eastAsia="David" w:hAnsi="David" w:cs="David"/>
          <w:sz w:val="24"/>
          <w:szCs w:val="24"/>
          <w:rtl/>
        </w:rPr>
        <w:t xml:space="preserve">.  </w:t>
      </w:r>
    </w:p>
    <w:p w:rsidR="00A029DF" w:rsidRDefault="00A029DF" w:rsidP="00A029DF">
      <w:pPr>
        <w:bidi/>
        <w:spacing w:line="360" w:lineRule="auto"/>
        <w:ind w:left="-450" w:right="-450"/>
        <w:rPr>
          <w:rFonts w:ascii="David" w:eastAsia="David" w:hAnsi="David" w:cs="David"/>
          <w:sz w:val="24"/>
          <w:szCs w:val="24"/>
          <w:rtl/>
          <w:lang w:bidi="he"/>
        </w:rPr>
      </w:pPr>
    </w:p>
    <w:p w:rsidR="00A029DF" w:rsidRDefault="00A029DF" w:rsidP="00A029DF">
      <w:pPr>
        <w:bidi/>
        <w:spacing w:line="360" w:lineRule="auto"/>
        <w:ind w:left="-450" w:right="-450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סיכום</w:t>
      </w:r>
      <w:r>
        <w:rPr>
          <w:rFonts w:ascii="David" w:eastAsia="David" w:hAnsi="David" w:cs="David"/>
          <w:sz w:val="24"/>
          <w:szCs w:val="24"/>
          <w:rtl/>
        </w:rPr>
        <w:t xml:space="preserve">: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קראו את המקור המצורף </w:t>
      </w:r>
      <w:r>
        <w:rPr>
          <w:rFonts w:ascii="David" w:eastAsia="David" w:hAnsi="David" w:cs="David"/>
          <w:sz w:val="24"/>
          <w:szCs w:val="24"/>
          <w:rtl/>
        </w:rPr>
        <w:t>(</w:t>
      </w:r>
      <w:r>
        <w:rPr>
          <w:rFonts w:ascii="David" w:eastAsia="David" w:hAnsi="David" w:cs="David"/>
          <w:sz w:val="24"/>
          <w:szCs w:val="24"/>
          <w:rtl/>
          <w:lang w:bidi="he"/>
        </w:rPr>
        <w:t>אברהם יהושע השל</w:t>
      </w:r>
      <w:r>
        <w:rPr>
          <w:rFonts w:ascii="David" w:eastAsia="David" w:hAnsi="David" w:cs="David"/>
          <w:sz w:val="24"/>
          <w:szCs w:val="24"/>
          <w:rtl/>
        </w:rPr>
        <w:t xml:space="preserve">- </w:t>
      </w:r>
      <w:r>
        <w:rPr>
          <w:rFonts w:ascii="David" w:eastAsia="David" w:hAnsi="David" w:cs="David"/>
          <w:sz w:val="24"/>
          <w:szCs w:val="24"/>
          <w:rtl/>
          <w:lang w:bidi="he"/>
        </w:rPr>
        <w:t>אלוהים מחפש את האדם</w:t>
      </w:r>
      <w:r>
        <w:rPr>
          <w:rFonts w:ascii="David" w:eastAsia="David" w:hAnsi="David" w:cs="David"/>
          <w:sz w:val="24"/>
          <w:szCs w:val="24"/>
          <w:rtl/>
        </w:rPr>
        <w:t xml:space="preserve">) </w:t>
      </w:r>
      <w:r>
        <w:rPr>
          <w:rFonts w:ascii="David" w:eastAsia="David" w:hAnsi="David" w:cs="David"/>
          <w:sz w:val="24"/>
          <w:szCs w:val="24"/>
          <w:rtl/>
          <w:lang w:bidi="he"/>
        </w:rPr>
        <w:t>וענו על השאלות</w:t>
      </w:r>
    </w:p>
    <w:p w:rsidR="00A029DF" w:rsidRDefault="00A029DF" w:rsidP="00A029DF">
      <w:pPr>
        <w:numPr>
          <w:ilvl w:val="0"/>
          <w:numId w:val="2"/>
        </w:numPr>
        <w:bidi/>
        <w:spacing w:line="360" w:lineRule="auto"/>
        <w:ind w:left="-450" w:right="-450" w:firstLine="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א</w:t>
      </w:r>
      <w:r>
        <w:rPr>
          <w:rFonts w:ascii="David" w:eastAsia="David" w:hAnsi="David" w:cs="David"/>
          <w:sz w:val="24"/>
          <w:szCs w:val="24"/>
          <w:rtl/>
        </w:rPr>
        <w:t xml:space="preserve">. </w:t>
      </w:r>
      <w:r>
        <w:rPr>
          <w:rFonts w:ascii="David" w:eastAsia="David" w:hAnsi="David" w:cs="David"/>
          <w:sz w:val="24"/>
          <w:szCs w:val="24"/>
          <w:rtl/>
          <w:lang w:bidi="he"/>
        </w:rPr>
        <w:t>מהו המקור לחוויה של הנבואה לדעת השל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</w:p>
    <w:p w:rsidR="00A029DF" w:rsidRDefault="00A029DF" w:rsidP="00A029DF">
      <w:pPr>
        <w:bidi/>
        <w:spacing w:line="360" w:lineRule="auto"/>
        <w:ind w:right="-450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 xml:space="preserve">          הסבירו בעזרת הטקסט</w:t>
      </w:r>
      <w:r>
        <w:rPr>
          <w:rFonts w:ascii="David" w:eastAsia="David" w:hAnsi="David" w:cs="David"/>
          <w:sz w:val="24"/>
          <w:szCs w:val="24"/>
          <w:rtl/>
        </w:rPr>
        <w:t xml:space="preserve">. </w:t>
      </w:r>
    </w:p>
    <w:p w:rsidR="00A029DF" w:rsidRDefault="00A029DF" w:rsidP="00A029DF">
      <w:pPr>
        <w:numPr>
          <w:ilvl w:val="0"/>
          <w:numId w:val="2"/>
        </w:numPr>
        <w:bidi/>
        <w:spacing w:line="360" w:lineRule="auto"/>
        <w:ind w:left="-450" w:right="-450" w:firstLine="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האם </w:t>
      </w:r>
      <w:proofErr w:type="spellStart"/>
      <w:r>
        <w:rPr>
          <w:rFonts w:ascii="David" w:eastAsia="David" w:hAnsi="David" w:cs="David"/>
          <w:sz w:val="24"/>
          <w:szCs w:val="24"/>
          <w:rtl/>
          <w:lang w:bidi="he"/>
        </w:rPr>
        <w:t>הרמב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"</w:t>
      </w:r>
      <w:r>
        <w:rPr>
          <w:rFonts w:ascii="David" w:eastAsia="David" w:hAnsi="David" w:cs="David"/>
          <w:sz w:val="24"/>
          <w:szCs w:val="24"/>
          <w:rtl/>
          <w:lang w:bidi="he"/>
        </w:rPr>
        <w:t>ם והשל מאמינים באותו האל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>נסו לענות על שאלה זו והתייחסו לנושאים הבאים</w:t>
      </w:r>
      <w:r>
        <w:rPr>
          <w:rFonts w:ascii="David" w:eastAsia="David" w:hAnsi="David" w:cs="David"/>
          <w:sz w:val="24"/>
          <w:szCs w:val="24"/>
          <w:rtl/>
        </w:rPr>
        <w:t xml:space="preserve">: </w:t>
      </w:r>
    </w:p>
    <w:p w:rsidR="00A029DF" w:rsidRDefault="00A029DF" w:rsidP="00A029DF">
      <w:pPr>
        <w:numPr>
          <w:ilvl w:val="0"/>
          <w:numId w:val="3"/>
        </w:numPr>
        <w:bidi/>
        <w:spacing w:line="360" w:lineRule="auto"/>
        <w:ind w:right="-45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תפקיד האל בחיי העולם</w:t>
      </w:r>
    </w:p>
    <w:p w:rsidR="00A029DF" w:rsidRDefault="00A029DF" w:rsidP="00A029DF">
      <w:pPr>
        <w:numPr>
          <w:ilvl w:val="0"/>
          <w:numId w:val="3"/>
        </w:numPr>
        <w:bidi/>
        <w:spacing w:line="360" w:lineRule="auto"/>
        <w:ind w:right="-45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חלקי הנפש בהם מתרחשת הנבואה</w:t>
      </w:r>
    </w:p>
    <w:p w:rsidR="00A029DF" w:rsidRDefault="00A029DF" w:rsidP="00A029DF">
      <w:pPr>
        <w:numPr>
          <w:ilvl w:val="0"/>
          <w:numId w:val="3"/>
        </w:numPr>
        <w:bidi/>
        <w:spacing w:line="360" w:lineRule="auto"/>
        <w:ind w:right="-450"/>
        <w:contextualSpacing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תפיסת הנבואה </w:t>
      </w:r>
    </w:p>
    <w:p w:rsidR="00A029DF" w:rsidRDefault="00A029DF" w:rsidP="00A029DF">
      <w:pPr>
        <w:bidi/>
        <w:spacing w:line="360" w:lineRule="auto"/>
        <w:ind w:left="-450" w:right="-450"/>
        <w:rPr>
          <w:rFonts w:ascii="David" w:eastAsia="David" w:hAnsi="David" w:cs="David"/>
          <w:sz w:val="24"/>
          <w:szCs w:val="24"/>
          <w:rtl/>
          <w:lang w:bidi="he"/>
        </w:rPr>
      </w:pPr>
    </w:p>
    <w:p w:rsidR="00A029DF" w:rsidRDefault="00A029DF" w:rsidP="00A029DF">
      <w:pPr>
        <w:bidi/>
        <w:rPr>
          <w:rtl/>
          <w:lang w:bidi="he"/>
        </w:rPr>
      </w:pPr>
    </w:p>
    <w:p w:rsidR="00A029DF" w:rsidRDefault="00A029DF" w:rsidP="00A029DF">
      <w:pPr>
        <w:bidi/>
        <w:rPr>
          <w:rtl/>
          <w:lang w:bidi="he"/>
        </w:rPr>
      </w:pPr>
    </w:p>
    <w:p w:rsidR="006814BE" w:rsidRPr="00A029DF" w:rsidRDefault="00A029DF">
      <w:pPr>
        <w:rPr>
          <w:lang w:val="en-US"/>
        </w:rPr>
      </w:pPr>
      <w:bookmarkStart w:id="0" w:name="_GoBack"/>
      <w:bookmarkEnd w:id="0"/>
    </w:p>
    <w:sectPr w:rsidR="006814BE" w:rsidRPr="00A029D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15E87"/>
    <w:multiLevelType w:val="multilevel"/>
    <w:tmpl w:val="507615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004934"/>
    <w:multiLevelType w:val="multilevel"/>
    <w:tmpl w:val="2F96F6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C12657"/>
    <w:multiLevelType w:val="multilevel"/>
    <w:tmpl w:val="3F8C56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1A773E"/>
    <w:multiLevelType w:val="multilevel"/>
    <w:tmpl w:val="BDBC54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DF"/>
    <w:rsid w:val="00832599"/>
    <w:rsid w:val="008B1074"/>
    <w:rsid w:val="00A0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18A1"/>
  <w15:chartTrackingRefBased/>
  <w15:docId w15:val="{92F4418F-62B0-4D5D-85DE-F4C75CAB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029D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h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ניר שלייפר</dc:creator>
  <cp:keywords/>
  <dc:description/>
  <cp:lastModifiedBy>ניר שלייפר</cp:lastModifiedBy>
  <cp:revision>1</cp:revision>
  <dcterms:created xsi:type="dcterms:W3CDTF">2017-12-05T20:25:00Z</dcterms:created>
  <dcterms:modified xsi:type="dcterms:W3CDTF">2017-12-05T20:26:00Z</dcterms:modified>
</cp:coreProperties>
</file>