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3B9" w:rsidRDefault="00AE006B">
      <w:pPr>
        <w:bidi/>
      </w:pPr>
      <w:r>
        <w:rPr>
          <w:rFonts w:ascii="Times New Roman" w:eastAsia="Times New Roman" w:hAnsi="Times New Roman" w:cs="Times New Roman"/>
          <w:sz w:val="36"/>
          <w:szCs w:val="36"/>
          <w:rtl/>
        </w:rPr>
        <w:t>פרק שלישי: על מחלות הנפש</w:t>
      </w:r>
    </w:p>
    <w:p w:rsidR="003533B9" w:rsidRDefault="00AE006B">
      <w:pPr>
        <w:bidi/>
        <w:spacing w:line="360" w:lineRule="auto"/>
        <w:ind w:left="-585" w:right="-450"/>
        <w:rPr>
          <w:rFonts w:ascii="David" w:eastAsia="David" w:hAnsi="David" w:cs="David"/>
          <w:u w:val="single"/>
        </w:rPr>
      </w:pPr>
      <w:r>
        <w:rPr>
          <w:rFonts w:ascii="David" w:eastAsia="David" w:hAnsi="David" w:cs="David"/>
          <w:rtl/>
        </w:rPr>
        <w:t>בפרק זה, הרמב"ם שוב עורך הקבלה בין בריאות ומחלה בגוף לבריאות ומחלה בנפש:</w:t>
      </w:r>
      <w:r>
        <w:rPr>
          <w:rFonts w:ascii="David" w:eastAsia="David" w:hAnsi="David" w:cs="David"/>
          <w:u w:val="single"/>
        </w:rPr>
        <w:t xml:space="preserve"> </w:t>
      </w:r>
    </w:p>
    <w:p w:rsidR="003533B9" w:rsidRDefault="00AE006B">
      <w:pPr>
        <w:bidi/>
        <w:spacing w:line="360" w:lineRule="auto"/>
        <w:ind w:left="-585" w:right="-450"/>
        <w:rPr>
          <w:rFonts w:ascii="David" w:eastAsia="David" w:hAnsi="David" w:cs="David"/>
        </w:rPr>
      </w:pPr>
      <w:r>
        <w:rPr>
          <w:rFonts w:ascii="David" w:eastAsia="David" w:hAnsi="David" w:cs="David"/>
          <w:u w:val="single"/>
          <w:rtl/>
        </w:rPr>
        <w:t>מהי בריאות ומחלה בנפש?</w:t>
      </w:r>
      <w:r>
        <w:rPr>
          <w:rFonts w:ascii="David" w:eastAsia="David" w:hAnsi="David" w:cs="David"/>
        </w:rPr>
        <w:t xml:space="preserve"> </w:t>
      </w:r>
    </w:p>
    <w:p w:rsidR="003533B9" w:rsidRDefault="00AE006B">
      <w:pPr>
        <w:bidi/>
        <w:spacing w:line="360" w:lineRule="auto"/>
        <w:ind w:left="-585" w:right="-450"/>
        <w:rPr>
          <w:rFonts w:ascii="David" w:eastAsia="David" w:hAnsi="David" w:cs="David"/>
        </w:rPr>
      </w:pPr>
      <w:r>
        <w:rPr>
          <w:rFonts w:ascii="David" w:eastAsia="David" w:hAnsi="David" w:cs="David"/>
          <w:rtl/>
        </w:rPr>
        <w:t xml:space="preserve">לפי "הקדמונים" (הפילוסופים היוונים, בייחוד אריסטו), לנפש יש מצב של בריאות ומצב של חולי, כשם לגוף יש מצב של בריאות וחולי. כך מגדיר </w:t>
      </w:r>
      <w:r>
        <w:rPr>
          <w:rFonts w:ascii="David" w:eastAsia="David" w:hAnsi="David" w:cs="David"/>
          <w:rtl/>
        </w:rPr>
        <w:t>הרמב"ם בריאות וחולי של הנפש:</w:t>
      </w:r>
    </w:p>
    <w:p w:rsidR="003533B9" w:rsidRDefault="00AE006B">
      <w:pPr>
        <w:bidi/>
        <w:spacing w:line="360" w:lineRule="auto"/>
        <w:ind w:left="-585" w:right="-450"/>
        <w:rPr>
          <w:rFonts w:ascii="David" w:eastAsia="David" w:hAnsi="David" w:cs="David"/>
        </w:rPr>
      </w:pPr>
      <w:r>
        <w:rPr>
          <w:rFonts w:ascii="David" w:eastAsia="David" w:hAnsi="David" w:cs="David"/>
          <w:b/>
          <w:rtl/>
        </w:rPr>
        <w:t>בריאות הנפש</w:t>
      </w:r>
      <w:r>
        <w:rPr>
          <w:rFonts w:ascii="David" w:eastAsia="David" w:hAnsi="David" w:cs="David"/>
          <w:rtl/>
        </w:rPr>
        <w:t>:  באמצעות תכונות הנפש ותכונות חלקיה האדם עושה "מעשים טובים, מעשי חסד ומעשים נאים".</w:t>
      </w:r>
    </w:p>
    <w:p w:rsidR="003533B9" w:rsidRDefault="00AE006B">
      <w:pPr>
        <w:bidi/>
        <w:spacing w:line="360" w:lineRule="auto"/>
        <w:ind w:left="-585" w:right="-450"/>
        <w:rPr>
          <w:rFonts w:ascii="David" w:eastAsia="David" w:hAnsi="David" w:cs="David"/>
        </w:rPr>
      </w:pPr>
      <w:r>
        <w:rPr>
          <w:rFonts w:ascii="David" w:eastAsia="David" w:hAnsi="David" w:cs="David"/>
          <w:b/>
          <w:rtl/>
        </w:rPr>
        <w:t>מחלת הנפש</w:t>
      </w:r>
      <w:r>
        <w:rPr>
          <w:rFonts w:ascii="David" w:eastAsia="David" w:hAnsi="David" w:cs="David"/>
          <w:rtl/>
        </w:rPr>
        <w:t>: באמצעות תכונות הנפש ותכונות חלקיה האדם עושה מעשים רעים ומעשים מגונים.</w:t>
      </w:r>
    </w:p>
    <w:p w:rsidR="003533B9" w:rsidRDefault="00AE006B">
      <w:pPr>
        <w:bidi/>
        <w:spacing w:line="360" w:lineRule="auto"/>
        <w:rPr>
          <w:rFonts w:ascii="David" w:eastAsia="David" w:hAnsi="David" w:cs="David"/>
          <w:u w:val="single"/>
        </w:rPr>
      </w:pPr>
      <w:r>
        <w:rPr>
          <w:rFonts w:ascii="David" w:eastAsia="David" w:hAnsi="David" w:cs="David"/>
          <w:u w:val="single"/>
          <w:rtl/>
        </w:rPr>
        <w:t>הקבלה בין מחלת גוף ומחלת נפש</w:t>
      </w:r>
    </w:p>
    <w:tbl>
      <w:tblPr>
        <w:tblStyle w:val="a5"/>
        <w:bidiVisual/>
        <w:tblW w:w="9134" w:type="dxa"/>
        <w:tblInd w:w="-230" w:type="dxa"/>
        <w:tblBorders>
          <w:top w:val="nil"/>
          <w:left w:val="nil"/>
          <w:bottom w:val="nil"/>
          <w:right w:val="nil"/>
          <w:insideH w:val="nil"/>
          <w:insideV w:val="nil"/>
        </w:tblBorders>
        <w:tblLayout w:type="fixed"/>
        <w:tblLook w:val="0600" w:firstRow="0" w:lastRow="0" w:firstColumn="0" w:lastColumn="0" w:noHBand="1" w:noVBand="1"/>
      </w:tblPr>
      <w:tblGrid>
        <w:gridCol w:w="1593"/>
        <w:gridCol w:w="3887"/>
        <w:gridCol w:w="3654"/>
      </w:tblGrid>
      <w:tr w:rsidR="003533B9" w:rsidTr="00AE006B">
        <w:trPr>
          <w:trHeight w:val="666"/>
        </w:trPr>
        <w:tc>
          <w:tcPr>
            <w:tcW w:w="1593"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3533B9" w:rsidRDefault="00AE006B">
            <w:pPr>
              <w:bidi/>
              <w:spacing w:line="360" w:lineRule="auto"/>
              <w:ind w:left="-800"/>
              <w:rPr>
                <w:rFonts w:ascii="David" w:eastAsia="David" w:hAnsi="David" w:cs="David"/>
              </w:rPr>
            </w:pPr>
            <w:r>
              <w:rPr>
                <w:rFonts w:ascii="David" w:eastAsia="David" w:hAnsi="David" w:cs="David"/>
              </w:rPr>
              <w:t xml:space="preserve"> </w:t>
            </w:r>
          </w:p>
        </w:tc>
        <w:tc>
          <w:tcPr>
            <w:tcW w:w="3887" w:type="dxa"/>
            <w:tcBorders>
              <w:top w:val="single" w:sz="7" w:space="0" w:color="000000"/>
              <w:left w:val="single" w:sz="7" w:space="0" w:color="000000"/>
              <w:bottom w:val="single" w:sz="7" w:space="0" w:color="000000"/>
              <w:right w:val="single" w:sz="8" w:space="0" w:color="000000"/>
            </w:tcBorders>
            <w:tcMar>
              <w:top w:w="100" w:type="dxa"/>
              <w:left w:w="100" w:type="dxa"/>
              <w:bottom w:w="100" w:type="dxa"/>
              <w:right w:w="100" w:type="dxa"/>
            </w:tcMar>
          </w:tcPr>
          <w:p w:rsidR="003533B9" w:rsidRDefault="00AE006B">
            <w:pPr>
              <w:bidi/>
              <w:spacing w:line="360" w:lineRule="auto"/>
              <w:ind w:left="135"/>
              <w:rPr>
                <w:rFonts w:ascii="David" w:eastAsia="David" w:hAnsi="David" w:cs="David"/>
                <w:b/>
              </w:rPr>
            </w:pPr>
            <w:r>
              <w:rPr>
                <w:rFonts w:ascii="David" w:eastAsia="David" w:hAnsi="David" w:cs="David"/>
                <w:b/>
                <w:rtl/>
              </w:rPr>
              <w:t>מחלת הגוף</w:t>
            </w:r>
          </w:p>
        </w:tc>
        <w:tc>
          <w:tcPr>
            <w:tcW w:w="36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3533B9" w:rsidRDefault="00AE006B">
            <w:pPr>
              <w:bidi/>
              <w:spacing w:line="360" w:lineRule="auto"/>
              <w:ind w:left="135"/>
              <w:rPr>
                <w:rFonts w:ascii="David" w:eastAsia="David" w:hAnsi="David" w:cs="David"/>
                <w:b/>
              </w:rPr>
            </w:pPr>
            <w:r>
              <w:rPr>
                <w:rFonts w:ascii="David" w:eastAsia="David" w:hAnsi="David" w:cs="David"/>
                <w:b/>
                <w:rtl/>
              </w:rPr>
              <w:t>מחלת הנפש</w:t>
            </w:r>
          </w:p>
        </w:tc>
      </w:tr>
      <w:tr w:rsidR="003533B9" w:rsidTr="00AE006B">
        <w:trPr>
          <w:trHeight w:val="1978"/>
        </w:trPr>
        <w:tc>
          <w:tcPr>
            <w:tcW w:w="1593"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3533B9" w:rsidRDefault="00AE006B">
            <w:pPr>
              <w:bidi/>
              <w:spacing w:line="360" w:lineRule="auto"/>
              <w:ind w:left="60" w:right="90"/>
              <w:rPr>
                <w:rFonts w:ascii="David" w:eastAsia="David" w:hAnsi="David" w:cs="David"/>
              </w:rPr>
            </w:pPr>
            <w:r>
              <w:rPr>
                <w:rFonts w:ascii="David" w:eastAsia="David" w:hAnsi="David" w:cs="David"/>
                <w:rtl/>
              </w:rPr>
              <w:t>מהם התסמינים (הסימפטומים) של המחלה?</w:t>
            </w:r>
          </w:p>
        </w:tc>
        <w:tc>
          <w:tcPr>
            <w:tcW w:w="3887" w:type="dxa"/>
            <w:tcBorders>
              <w:top w:val="nil"/>
              <w:left w:val="single" w:sz="7" w:space="0" w:color="000000"/>
              <w:bottom w:val="single" w:sz="7" w:space="0" w:color="000000"/>
              <w:right w:val="single" w:sz="8" w:space="0" w:color="000000"/>
            </w:tcBorders>
            <w:tcMar>
              <w:top w:w="100" w:type="dxa"/>
              <w:left w:w="100" w:type="dxa"/>
              <w:bottom w:w="100" w:type="dxa"/>
              <w:right w:w="100" w:type="dxa"/>
            </w:tcMar>
          </w:tcPr>
          <w:p w:rsidR="003533B9" w:rsidRDefault="00AE006B">
            <w:pPr>
              <w:bidi/>
              <w:spacing w:line="360" w:lineRule="auto"/>
              <w:ind w:left="60" w:right="45"/>
              <w:rPr>
                <w:rFonts w:ascii="David" w:eastAsia="David" w:hAnsi="David" w:cs="David"/>
              </w:rPr>
            </w:pPr>
            <w:r>
              <w:rPr>
                <w:rFonts w:ascii="David" w:eastAsia="David" w:hAnsi="David" w:cs="David"/>
                <w:rtl/>
              </w:rPr>
              <w:t>חולה הגוף מאבד את חוש הטעם נוטה לבלבל בין טעמים ובין מה שראוי ולא ראוי לגוף מבחינה רפואית. למשל, יש לו תאווה גדולה דווקא לדברים חריפים מאוד, שאינם בריאים לגוף, שבד"כ האדם הבריא סולד מהם</w:t>
            </w:r>
          </w:p>
        </w:tc>
        <w:tc>
          <w:tcPr>
            <w:tcW w:w="36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3533B9" w:rsidRDefault="00AE006B">
            <w:pPr>
              <w:bidi/>
              <w:spacing w:line="360" w:lineRule="auto"/>
              <w:ind w:left="30" w:right="165"/>
              <w:rPr>
                <w:rFonts w:ascii="David" w:eastAsia="David" w:hAnsi="David" w:cs="David"/>
              </w:rPr>
            </w:pPr>
            <w:r>
              <w:rPr>
                <w:rFonts w:ascii="David" w:eastAsia="David" w:hAnsi="David" w:cs="David"/>
                <w:rtl/>
              </w:rPr>
              <w:t>חולה הנפש הוא "הרשע", אשר איבד את</w:t>
            </w:r>
            <w:r>
              <w:rPr>
                <w:rFonts w:ascii="David" w:eastAsia="David" w:hAnsi="David" w:cs="David"/>
                <w:rtl/>
              </w:rPr>
              <w:t xml:space="preserve"> יכולת ההבחנה בין מעשים טובים מעשים רעים. מפני שאיבד את כושר השיפוט שלו, הוא מדמה שהמעשים הרעים הם טובים, ולהפך. לכן, הוא שואף תמיד ל"מעשי עוול"</w:t>
            </w:r>
          </w:p>
        </w:tc>
      </w:tr>
      <w:tr w:rsidR="003533B9" w:rsidTr="00AE006B">
        <w:trPr>
          <w:trHeight w:val="2507"/>
        </w:trPr>
        <w:tc>
          <w:tcPr>
            <w:tcW w:w="1593"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3533B9" w:rsidRDefault="00AE006B">
            <w:pPr>
              <w:bidi/>
              <w:spacing w:line="360" w:lineRule="auto"/>
              <w:ind w:left="60" w:right="90"/>
              <w:rPr>
                <w:rFonts w:ascii="David" w:eastAsia="David" w:hAnsi="David" w:cs="David"/>
              </w:rPr>
            </w:pPr>
            <w:r>
              <w:rPr>
                <w:rFonts w:ascii="David" w:eastAsia="David" w:hAnsi="David" w:cs="David"/>
                <w:rtl/>
              </w:rPr>
              <w:t>למי נפנה כדי לרפא את המחלה?</w:t>
            </w:r>
          </w:p>
        </w:tc>
        <w:tc>
          <w:tcPr>
            <w:tcW w:w="3887" w:type="dxa"/>
            <w:tcBorders>
              <w:top w:val="nil"/>
              <w:left w:val="single" w:sz="7" w:space="0" w:color="000000"/>
              <w:bottom w:val="single" w:sz="7" w:space="0" w:color="000000"/>
              <w:right w:val="single" w:sz="8" w:space="0" w:color="000000"/>
            </w:tcBorders>
            <w:tcMar>
              <w:top w:w="100" w:type="dxa"/>
              <w:left w:w="100" w:type="dxa"/>
              <w:bottom w:w="100" w:type="dxa"/>
              <w:right w:w="100" w:type="dxa"/>
            </w:tcMar>
          </w:tcPr>
          <w:p w:rsidR="003533B9" w:rsidRDefault="00AE006B">
            <w:pPr>
              <w:bidi/>
              <w:spacing w:line="360" w:lineRule="auto"/>
              <w:ind w:left="60" w:right="45"/>
              <w:rPr>
                <w:rFonts w:ascii="David" w:eastAsia="David" w:hAnsi="David" w:cs="David"/>
              </w:rPr>
            </w:pPr>
            <w:r>
              <w:rPr>
                <w:rFonts w:ascii="David" w:eastAsia="David" w:hAnsi="David" w:cs="David"/>
                <w:rtl/>
              </w:rPr>
              <w:t xml:space="preserve">חולה הגוף פונה לרופא. הוא המומחה לגוף שיכול לתת לו עצות ממה להימנע  ומה לעשות. </w:t>
            </w:r>
            <w:r>
              <w:rPr>
                <w:rFonts w:ascii="David" w:eastAsia="David" w:hAnsi="David" w:cs="David"/>
                <w:rtl/>
              </w:rPr>
              <w:t>הרופא אף נותן לחולה תרופות שאינן טעימות או נעימות לעיכול, אך הן מחזירות לו את בריאותו ובסופו של דבר החולה שוב יכול להבחין מאכל שטוב לגופו ומאכל שרע לגופו</w:t>
            </w:r>
          </w:p>
        </w:tc>
        <w:tc>
          <w:tcPr>
            <w:tcW w:w="36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3533B9" w:rsidRDefault="00AE006B">
            <w:pPr>
              <w:bidi/>
              <w:spacing w:line="360" w:lineRule="auto"/>
              <w:ind w:left="30" w:right="165"/>
              <w:rPr>
                <w:rFonts w:ascii="David" w:eastAsia="David" w:hAnsi="David" w:cs="David"/>
              </w:rPr>
            </w:pPr>
            <w:r>
              <w:rPr>
                <w:rFonts w:ascii="David" w:eastAsia="David" w:hAnsi="David" w:cs="David"/>
                <w:rtl/>
              </w:rPr>
              <w:t>חולה הנפש פונה לחכם (הכוונה בחכם- לחז"ל, יוצרי מסכת אבות). החכם אוסר עליו לעשות את אותם מעשים רעים שהו</w:t>
            </w:r>
            <w:r>
              <w:rPr>
                <w:rFonts w:ascii="David" w:eastAsia="David" w:hAnsi="David" w:cs="David"/>
                <w:rtl/>
              </w:rPr>
              <w:t>א חושב שהם טובים וינחה אותו בהוראות התנהגות שישפיעו על תכונות הנפש שלו</w:t>
            </w:r>
          </w:p>
        </w:tc>
      </w:tr>
    </w:tbl>
    <w:p w:rsidR="003533B9" w:rsidRDefault="00AE006B">
      <w:pPr>
        <w:bidi/>
        <w:spacing w:line="360" w:lineRule="auto"/>
        <w:rPr>
          <w:rFonts w:ascii="David" w:eastAsia="David" w:hAnsi="David" w:cs="David"/>
        </w:rPr>
      </w:pPr>
      <w:r>
        <w:rPr>
          <w:rFonts w:ascii="David" w:eastAsia="David" w:hAnsi="David" w:cs="David"/>
        </w:rPr>
        <w:t xml:space="preserve"> </w:t>
      </w:r>
      <w:r>
        <w:rPr>
          <w:rFonts w:ascii="David" w:eastAsia="David" w:hAnsi="David" w:cs="David"/>
          <w:u w:val="single"/>
          <w:rtl/>
        </w:rPr>
        <w:t>הרמב"ם מבחין בין כמה סוגים של חולי נפש</w:t>
      </w:r>
    </w:p>
    <w:p w:rsidR="003533B9" w:rsidRDefault="00AE006B">
      <w:pPr>
        <w:bidi/>
        <w:spacing w:line="360" w:lineRule="auto"/>
        <w:ind w:left="-15" w:right="-450" w:hanging="360"/>
        <w:rPr>
          <w:rFonts w:ascii="David" w:eastAsia="David" w:hAnsi="David" w:cs="David"/>
        </w:rPr>
      </w:pPr>
      <w:r>
        <w:rPr>
          <w:rFonts w:ascii="David" w:eastAsia="David" w:hAnsi="David" w:cs="David"/>
        </w:rPr>
        <w:t>1.</w:t>
      </w:r>
      <w:r>
        <w:rPr>
          <w:rFonts w:ascii="David" w:eastAsia="David" w:hAnsi="David" w:cs="David"/>
          <w:sz w:val="14"/>
          <w:szCs w:val="14"/>
        </w:rPr>
        <w:t xml:space="preserve">      </w:t>
      </w:r>
      <w:r>
        <w:rPr>
          <w:rFonts w:ascii="David" w:eastAsia="David" w:hAnsi="David" w:cs="David"/>
          <w:b/>
          <w:rtl/>
        </w:rPr>
        <w:t>חולי נפש שאינם מודעים למחלתם</w:t>
      </w:r>
      <w:r>
        <w:rPr>
          <w:rFonts w:ascii="David" w:eastAsia="David" w:hAnsi="David" w:cs="David"/>
          <w:rtl/>
        </w:rPr>
        <w:t>- אנש</w:t>
      </w:r>
      <w:bookmarkStart w:id="0" w:name="_GoBack"/>
      <w:bookmarkEnd w:id="0"/>
      <w:r>
        <w:rPr>
          <w:rFonts w:ascii="David" w:eastAsia="David" w:hAnsi="David" w:cs="David"/>
          <w:rtl/>
        </w:rPr>
        <w:t>ים אלה "אינם מרגישים במחלתם או מדמים שהיא בריאות". לדוגמא, אדם שמכור לסמים וגונב כדי לקנות עוד סמים, אך</w:t>
      </w:r>
      <w:r>
        <w:rPr>
          <w:rFonts w:ascii="David" w:eastAsia="David" w:hAnsi="David" w:cs="David"/>
          <w:rtl/>
        </w:rPr>
        <w:t xml:space="preserve"> אינו רוצה להפסיק ולא מוצא בכך דבר רע. אדם זה, אומר הרמב"ם, ההולך בעקבות הנאותיו ואינו דואג לריפוי- ימות בסוף.</w:t>
      </w:r>
    </w:p>
    <w:p w:rsidR="003533B9" w:rsidRDefault="00AE006B">
      <w:pPr>
        <w:bidi/>
        <w:spacing w:line="360" w:lineRule="auto"/>
        <w:ind w:left="-15" w:right="-450" w:hanging="360"/>
        <w:rPr>
          <w:rFonts w:ascii="David" w:eastAsia="David" w:hAnsi="David" w:cs="David"/>
        </w:rPr>
      </w:pPr>
      <w:r>
        <w:rPr>
          <w:rFonts w:ascii="David" w:eastAsia="David" w:hAnsi="David" w:cs="David"/>
        </w:rPr>
        <w:t>2.</w:t>
      </w:r>
      <w:r>
        <w:rPr>
          <w:rFonts w:ascii="David" w:eastAsia="David" w:hAnsi="David" w:cs="David"/>
          <w:sz w:val="14"/>
          <w:szCs w:val="14"/>
        </w:rPr>
        <w:t xml:space="preserve">      </w:t>
      </w:r>
      <w:r>
        <w:rPr>
          <w:rFonts w:ascii="David" w:eastAsia="David" w:hAnsi="David" w:cs="David"/>
          <w:b/>
          <w:rtl/>
        </w:rPr>
        <w:t>חולי נפש המודעים למחלתם, אך אינם רוצים להתרפא</w:t>
      </w:r>
      <w:r>
        <w:rPr>
          <w:rFonts w:ascii="David" w:eastAsia="David" w:hAnsi="David" w:cs="David"/>
          <w:rtl/>
        </w:rPr>
        <w:t>- אנשים אלה יודעים כי הם הולכים בדרך הרעה ובכל זאת בוחרים שלא לפנות לטוב. למשל, אדם העוסק בה</w:t>
      </w:r>
      <w:r>
        <w:rPr>
          <w:rFonts w:ascii="David" w:eastAsia="David" w:hAnsi="David" w:cs="David"/>
          <w:rtl/>
        </w:rPr>
        <w:t>ימורים ויודע שהוא כבר מפסיד את כל הונו, את ביתו ומשפחתו, ובכל זאת לא יכול לעמוד בפיתוי- ומהמר.</w:t>
      </w:r>
    </w:p>
    <w:p w:rsidR="003533B9" w:rsidRDefault="00AE006B">
      <w:pPr>
        <w:bidi/>
        <w:spacing w:line="360" w:lineRule="auto"/>
        <w:ind w:left="-15" w:right="-450" w:hanging="360"/>
        <w:rPr>
          <w:rFonts w:ascii="David" w:eastAsia="David" w:hAnsi="David" w:cs="David"/>
          <w:u w:val="single"/>
        </w:rPr>
      </w:pPr>
      <w:r>
        <w:rPr>
          <w:rFonts w:ascii="David" w:eastAsia="David" w:hAnsi="David" w:cs="David"/>
          <w:u w:val="single"/>
          <w:rtl/>
        </w:rPr>
        <w:t>הרמב"ם מביא פסוקים מהתנ"ך, המבטאים, לדעתו את דמותם של חולי נפש אלה:</w:t>
      </w:r>
    </w:p>
    <w:p w:rsidR="003533B9" w:rsidRDefault="00AE006B">
      <w:pPr>
        <w:bidi/>
        <w:spacing w:line="360" w:lineRule="auto"/>
        <w:ind w:left="-15" w:right="-450" w:hanging="360"/>
        <w:rPr>
          <w:rFonts w:ascii="David" w:eastAsia="David" w:hAnsi="David" w:cs="David"/>
        </w:rPr>
      </w:pPr>
      <w:r>
        <w:rPr>
          <w:rFonts w:ascii="David" w:eastAsia="David" w:hAnsi="David" w:cs="David"/>
        </w:rPr>
        <w:t>1.</w:t>
      </w:r>
      <w:r>
        <w:rPr>
          <w:rFonts w:ascii="David" w:eastAsia="David" w:hAnsi="David" w:cs="David"/>
          <w:sz w:val="14"/>
          <w:szCs w:val="14"/>
        </w:rPr>
        <w:t xml:space="preserve">      </w:t>
      </w:r>
      <w:r>
        <w:rPr>
          <w:rFonts w:ascii="David" w:eastAsia="David" w:hAnsi="David" w:cs="David"/>
          <w:b/>
          <w:rtl/>
        </w:rPr>
        <w:t>חולה שאינו מודע למחלתו:</w:t>
      </w:r>
      <w:r>
        <w:rPr>
          <w:rFonts w:ascii="David" w:eastAsia="David" w:hAnsi="David" w:cs="David"/>
        </w:rPr>
        <w:t xml:space="preserve"> </w:t>
      </w:r>
      <w:r>
        <w:rPr>
          <w:rFonts w:ascii="David" w:eastAsia="David" w:hAnsi="David" w:cs="David"/>
          <w:i/>
          <w:rtl/>
        </w:rPr>
        <w:t>"דרך רשעים כאפלה, לא ידעו במה נכשלו"</w:t>
      </w:r>
      <w:r>
        <w:rPr>
          <w:rFonts w:ascii="David" w:eastAsia="David" w:hAnsi="David" w:cs="David"/>
          <w:rtl/>
        </w:rPr>
        <w:t xml:space="preserve"> (משלי).</w:t>
      </w:r>
    </w:p>
    <w:p w:rsidR="003533B9" w:rsidRDefault="00AE006B">
      <w:pPr>
        <w:bidi/>
        <w:spacing w:line="360" w:lineRule="auto"/>
        <w:ind w:left="-15" w:right="-450" w:hanging="360"/>
      </w:pPr>
      <w:r>
        <w:rPr>
          <w:rFonts w:ascii="David" w:eastAsia="David" w:hAnsi="David" w:cs="David"/>
        </w:rPr>
        <w:t>2.</w:t>
      </w:r>
      <w:r>
        <w:rPr>
          <w:rFonts w:ascii="David" w:eastAsia="David" w:hAnsi="David" w:cs="David"/>
          <w:sz w:val="14"/>
          <w:szCs w:val="14"/>
        </w:rPr>
        <w:t xml:space="preserve">      </w:t>
      </w:r>
      <w:r>
        <w:rPr>
          <w:rFonts w:ascii="David" w:eastAsia="David" w:hAnsi="David" w:cs="David"/>
          <w:b/>
          <w:rtl/>
        </w:rPr>
        <w:t xml:space="preserve">חולה </w:t>
      </w:r>
      <w:r>
        <w:rPr>
          <w:rFonts w:ascii="David" w:eastAsia="David" w:hAnsi="David" w:cs="David"/>
          <w:b/>
          <w:rtl/>
        </w:rPr>
        <w:t>שמודע למחלתו אך אינו רוצה להתרפא:</w:t>
      </w:r>
      <w:r>
        <w:rPr>
          <w:rFonts w:ascii="David" w:eastAsia="David" w:hAnsi="David" w:cs="David"/>
          <w:rtl/>
        </w:rPr>
        <w:t xml:space="preserve">  "כי בשרירות ליבי אלך"- אלך בשרירות ליבי, אומר הרמב"ם, כדי להרוות את הצמא. החולה הממשיך לעשות מעשים רעים הוא כמו אדם השותה כדי להרוות את מצאונו, אך מכיוון שהוא שותה דברים מזיקים- הוא רק נהיה צמא עוד יותר. </w:t>
      </w:r>
    </w:p>
    <w:sectPr w:rsidR="003533B9">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B9"/>
    <w:rsid w:val="003533B9"/>
    <w:rsid w:val="00AE00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31283-EB3D-42BB-9E0D-EE9E2619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he-IL"/>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1900</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dcterms:created xsi:type="dcterms:W3CDTF">2017-10-17T11:47:00Z</dcterms:created>
  <dcterms:modified xsi:type="dcterms:W3CDTF">2017-10-17T11:47:00Z</dcterms:modified>
</cp:coreProperties>
</file>