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42" w:rsidRDefault="00282C1C">
      <w:pPr>
        <w:bidi/>
        <w:rPr>
          <w:rFonts w:ascii="Times New Roman" w:eastAsia="Times New Roman" w:hAnsi="Times New Roman" w:cs="Times New Roman"/>
          <w:sz w:val="40"/>
          <w:szCs w:val="40"/>
        </w:rPr>
      </w:pPr>
      <w:bookmarkStart w:id="0" w:name="_GoBack"/>
      <w:bookmarkEnd w:id="0"/>
      <w:r>
        <w:rPr>
          <w:rFonts w:ascii="Times New Roman" w:eastAsia="Times New Roman" w:hAnsi="Times New Roman" w:cs="Times New Roman"/>
          <w:sz w:val="40"/>
          <w:szCs w:val="40"/>
          <w:rtl/>
        </w:rPr>
        <w:t>פרק שני: על העבירות של כוחות הנפש ועל המגרעות והמעלות בנפש</w:t>
      </w:r>
    </w:p>
    <w:p w:rsidR="00E91342" w:rsidRDefault="00282C1C">
      <w:pPr>
        <w:bidi/>
      </w:pPr>
      <w:r>
        <w:t xml:space="preserve"> </w:t>
      </w:r>
    </w:p>
    <w:p w:rsidR="00E91342" w:rsidRDefault="00282C1C">
      <w:pPr>
        <w:numPr>
          <w:ilvl w:val="0"/>
          <w:numId w:val="2"/>
        </w:numPr>
        <w:bidi/>
        <w:contextualSpacing/>
      </w:pPr>
      <w:r>
        <w:rPr>
          <w:u w:val="single"/>
          <w:rtl/>
        </w:rPr>
        <w:t>אילו מחלקי הנפש ניתנים לשליטתו של האדם, ולכן אחראים לקיום מצוות או עבירות? אילו לא? [פסקאות א-ג]</w:t>
      </w:r>
    </w:p>
    <w:p w:rsidR="00E91342" w:rsidRDefault="00282C1C">
      <w:pPr>
        <w:bidi/>
      </w:pPr>
      <w:r>
        <w:rPr>
          <w:rtl/>
        </w:rPr>
        <w:t xml:space="preserve">הטענה הכללית של הרמב"ם היא כי הקריטריון לפיו ניתן להחליט באיזה מחלקי הנפש מתבצעים מעשים טובים או </w:t>
      </w:r>
      <w:r>
        <w:rPr>
          <w:rtl/>
        </w:rPr>
        <w:t>רעים הוא יכולת הבחירה והשליטה. כלומר, אם בחלק זה הפעולות נעשות מתוך בחירה ושליטה, אז חלק זה יהיה אחראי גם על עבירות או מעשים טובים. לעומת זאת, יש חלקים בנפש שלמעשים שקשורים אליהם לא ניתן להצמיד ערך חיובי או שלילי.</w:t>
      </w:r>
    </w:p>
    <w:p w:rsidR="00E91342" w:rsidRDefault="00282C1C">
      <w:pPr>
        <w:bidi/>
        <w:ind w:left="720" w:right="720"/>
      </w:pPr>
      <w:r>
        <w:rPr>
          <w:rFonts w:ascii="Times New Roman" w:eastAsia="Times New Roman" w:hAnsi="Times New Roman" w:cs="Times New Roman"/>
          <w:sz w:val="14"/>
          <w:szCs w:val="14"/>
        </w:rPr>
        <w:t xml:space="preserve">         </w:t>
      </w:r>
      <w:r>
        <w:rPr>
          <w:rtl/>
        </w:rPr>
        <w:t>א.</w:t>
      </w:r>
      <w:r>
        <w:rPr>
          <w:rFonts w:ascii="Times New Roman" w:eastAsia="Times New Roman" w:hAnsi="Times New Roman" w:cs="Times New Roman"/>
          <w:sz w:val="14"/>
          <w:szCs w:val="14"/>
        </w:rPr>
        <w:t xml:space="preserve">         </w:t>
      </w:r>
      <w:r>
        <w:rPr>
          <w:b/>
          <w:rtl/>
        </w:rPr>
        <w:t>בחלק החש והחלק השואף</w:t>
      </w:r>
      <w:r>
        <w:rPr>
          <w:rtl/>
        </w:rPr>
        <w:t xml:space="preserve"> נ</w:t>
      </w:r>
      <w:r>
        <w:rPr>
          <w:rtl/>
        </w:rPr>
        <w:t>עשות העבירות והמצוות. החלש החש משרת את החלק השואף. לדוגמא, אדם מבטא כעס או קנאה חזקה כלפי אדם אחר המובילים אותו לרצוח (לעבור על "לא תרצח"), או חש משיכה מינית עזה למישהי המביאה אותו לבגידה באשתו ("לא תנאף").</w:t>
      </w:r>
    </w:p>
    <w:p w:rsidR="00E91342" w:rsidRDefault="00282C1C">
      <w:pPr>
        <w:bidi/>
        <w:ind w:left="720" w:right="720"/>
      </w:pPr>
      <w:r>
        <w:rPr>
          <w:rFonts w:ascii="Times New Roman" w:eastAsia="Times New Roman" w:hAnsi="Times New Roman" w:cs="Times New Roman"/>
          <w:sz w:val="14"/>
          <w:szCs w:val="14"/>
        </w:rPr>
        <w:t xml:space="preserve">         </w:t>
      </w:r>
      <w:r>
        <w:rPr>
          <w:rtl/>
        </w:rPr>
        <w:t>ב.</w:t>
      </w:r>
      <w:r>
        <w:rPr>
          <w:rFonts w:ascii="Times New Roman" w:eastAsia="Times New Roman" w:hAnsi="Times New Roman" w:cs="Times New Roman"/>
          <w:sz w:val="14"/>
          <w:szCs w:val="14"/>
        </w:rPr>
        <w:t xml:space="preserve">         </w:t>
      </w:r>
      <w:r>
        <w:rPr>
          <w:b/>
          <w:rtl/>
        </w:rPr>
        <w:t>בחלק המזין ובחלק המדמה</w:t>
      </w:r>
      <w:r>
        <w:rPr>
          <w:rtl/>
        </w:rPr>
        <w:t xml:space="preserve"> אין עב</w:t>
      </w:r>
      <w:r>
        <w:rPr>
          <w:rtl/>
        </w:rPr>
        <w:t>ירות ואין מצוות. זאת מפני שאין שליטה על איברים אלה. הראייה לכך: אין אנו שולטים בפעולות החלקים האלה בשעת השינה והם ממשיכים לפעול ללא שליטתנו (החלק המדמה- חלומות בלילה, החלק המזין- נשימה, פעילות עיכול וכו').</w:t>
      </w:r>
    </w:p>
    <w:p w:rsidR="00E91342" w:rsidRDefault="00282C1C">
      <w:pPr>
        <w:bidi/>
        <w:ind w:left="720" w:right="720"/>
      </w:pPr>
      <w:r>
        <w:rPr>
          <w:rFonts w:ascii="Times New Roman" w:eastAsia="Times New Roman" w:hAnsi="Times New Roman" w:cs="Times New Roman"/>
          <w:sz w:val="14"/>
          <w:szCs w:val="14"/>
        </w:rPr>
        <w:t xml:space="preserve">          </w:t>
      </w:r>
      <w:r>
        <w:rPr>
          <w:rtl/>
        </w:rPr>
        <w:t>ג.</w:t>
      </w:r>
      <w:r>
        <w:rPr>
          <w:rFonts w:ascii="Times New Roman" w:eastAsia="Times New Roman" w:hAnsi="Times New Roman" w:cs="Times New Roman"/>
          <w:sz w:val="14"/>
          <w:szCs w:val="14"/>
        </w:rPr>
        <w:t xml:space="preserve">          </w:t>
      </w:r>
      <w:r>
        <w:rPr>
          <w:rtl/>
        </w:rPr>
        <w:t xml:space="preserve">לגבי </w:t>
      </w:r>
      <w:r>
        <w:rPr>
          <w:b/>
          <w:rtl/>
        </w:rPr>
        <w:t>החלק השכלי</w:t>
      </w:r>
      <w:r>
        <w:rPr>
          <w:rtl/>
        </w:rPr>
        <w:t xml:space="preserve">- יש לרמב"ם </w:t>
      </w:r>
      <w:r>
        <w:rPr>
          <w:u w:val="single"/>
          <w:rtl/>
        </w:rPr>
        <w:t>ה</w:t>
      </w:r>
      <w:r>
        <w:rPr>
          <w:u w:val="single"/>
          <w:rtl/>
        </w:rPr>
        <w:t>תלבטות</w:t>
      </w:r>
      <w:r>
        <w:rPr>
          <w:rtl/>
        </w:rPr>
        <w:t>. קשה להכריע אם יש בחלק זה בחירה. ניתן לומר שלפעמים יש אמונות או דעות שגויות או פסולות בחלק השכלי (למשל, כפירה במציאות האל, שהיא מבחינתו אמת). אבל- פעולת העבירה עצמה לא מתבצעת בו- אלא בחלק אחר. החלק השכלי הוא לא זה המבצע באופן אקטיבי את העבירה.</w:t>
      </w:r>
    </w:p>
    <w:p w:rsidR="00E91342" w:rsidRDefault="00282C1C">
      <w:pPr>
        <w:bidi/>
      </w:pPr>
      <w:r>
        <w:t xml:space="preserve"> </w:t>
      </w:r>
    </w:p>
    <w:p w:rsidR="00E91342" w:rsidRDefault="00282C1C">
      <w:pPr>
        <w:numPr>
          <w:ilvl w:val="0"/>
          <w:numId w:val="1"/>
        </w:numPr>
        <w:bidi/>
        <w:contextualSpacing/>
      </w:pPr>
      <w:r>
        <w:rPr>
          <w:u w:val="single"/>
          <w:rtl/>
        </w:rPr>
        <w:t>מהן</w:t>
      </w:r>
      <w:r>
        <w:rPr>
          <w:u w:val="single"/>
          <w:rtl/>
        </w:rPr>
        <w:t xml:space="preserve"> המעלות (התכונות הטובות) של הנפש? ומהן המגרעות (התכונות הגרועות של הנפש)?</w:t>
      </w:r>
    </w:p>
    <w:p w:rsidR="00E91342" w:rsidRDefault="00282C1C">
      <w:pPr>
        <w:numPr>
          <w:ilvl w:val="0"/>
          <w:numId w:val="1"/>
        </w:numPr>
        <w:bidi/>
        <w:contextualSpacing/>
      </w:pPr>
      <w:r>
        <w:rPr>
          <w:u w:val="single"/>
          <w:rtl/>
        </w:rPr>
        <w:t>באיזה מחלקי הנפש הן נמצאות?</w:t>
      </w:r>
    </w:p>
    <w:p w:rsidR="00E91342" w:rsidRDefault="00282C1C">
      <w:pPr>
        <w:bidi/>
      </w:pPr>
      <w:r>
        <w:rPr>
          <w:rtl/>
        </w:rPr>
        <w:t>הרמב"ם מחלק את המעלות בנפש לשני סוגים:</w:t>
      </w:r>
    </w:p>
    <w:p w:rsidR="00E91342" w:rsidRDefault="00282C1C">
      <w:pPr>
        <w:bidi/>
        <w:ind w:left="360" w:right="360"/>
        <w:rPr>
          <w:b/>
        </w:rPr>
      </w:pPr>
      <w:r>
        <w:rPr>
          <w:b/>
          <w:rtl/>
        </w:rPr>
        <w:t>א.</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tl/>
        </w:rPr>
        <w:t>מעלות שכליות.</w:t>
      </w:r>
    </w:p>
    <w:p w:rsidR="00E91342" w:rsidRDefault="00282C1C">
      <w:pPr>
        <w:bidi/>
        <w:rPr>
          <w:u w:val="single"/>
        </w:rPr>
      </w:pPr>
      <w:r>
        <w:rPr>
          <w:u w:val="single"/>
          <w:rtl/>
        </w:rPr>
        <w:t>יש כמה סוגים של מעלות שכליות:</w:t>
      </w:r>
    </w:p>
    <w:p w:rsidR="00E91342" w:rsidRDefault="00282C1C">
      <w:pPr>
        <w:bidi/>
        <w:ind w:left="360"/>
      </w:pPr>
      <w:r>
        <w:t>·</w:t>
      </w:r>
      <w:r>
        <w:rPr>
          <w:rFonts w:ascii="Times New Roman" w:eastAsia="Times New Roman" w:hAnsi="Times New Roman" w:cs="Times New Roman"/>
          <w:sz w:val="14"/>
          <w:szCs w:val="14"/>
        </w:rPr>
        <w:t xml:space="preserve">         </w:t>
      </w:r>
      <w:r>
        <w:rPr>
          <w:rtl/>
        </w:rPr>
        <w:t>חכמה: ידיעת הסיבות לקיומם של דברים, הגורמים להיווצרותם ש</w:t>
      </w:r>
      <w:r>
        <w:rPr>
          <w:rtl/>
        </w:rPr>
        <w:t xml:space="preserve">ל דברים </w:t>
      </w:r>
      <w:proofErr w:type="spellStart"/>
      <w:r>
        <w:rPr>
          <w:rtl/>
        </w:rPr>
        <w:t>וכו</w:t>
      </w:r>
      <w:proofErr w:type="spellEnd"/>
      <w:r>
        <w:rPr>
          <w:rtl/>
        </w:rPr>
        <w:t>'.</w:t>
      </w:r>
    </w:p>
    <w:p w:rsidR="00E91342" w:rsidRDefault="00282C1C">
      <w:pPr>
        <w:bidi/>
        <w:ind w:left="360"/>
      </w:pPr>
      <w:r>
        <w:t>·</w:t>
      </w:r>
      <w:r>
        <w:rPr>
          <w:rFonts w:ascii="Times New Roman" w:eastAsia="Times New Roman" w:hAnsi="Times New Roman" w:cs="Times New Roman"/>
          <w:sz w:val="14"/>
          <w:szCs w:val="14"/>
        </w:rPr>
        <w:t xml:space="preserve">         </w:t>
      </w:r>
      <w:r>
        <w:rPr>
          <w:rtl/>
        </w:rPr>
        <w:t>השכל העיוני: ידיעת האמיתות הידועות מראש (אקסיומות)</w:t>
      </w:r>
    </w:p>
    <w:p w:rsidR="00E91342" w:rsidRDefault="00282C1C">
      <w:pPr>
        <w:bidi/>
        <w:ind w:left="360"/>
      </w:pPr>
      <w:r>
        <w:t>·</w:t>
      </w:r>
      <w:r>
        <w:rPr>
          <w:rFonts w:ascii="Times New Roman" w:eastAsia="Times New Roman" w:hAnsi="Times New Roman" w:cs="Times New Roman"/>
          <w:sz w:val="14"/>
          <w:szCs w:val="14"/>
        </w:rPr>
        <w:t xml:space="preserve">         </w:t>
      </w:r>
      <w:r>
        <w:rPr>
          <w:rtl/>
        </w:rPr>
        <w:t>השכל הנקנה: היכולת לרכוש ידע, ללמוד.</w:t>
      </w:r>
    </w:p>
    <w:p w:rsidR="00E91342" w:rsidRDefault="00282C1C">
      <w:pPr>
        <w:bidi/>
        <w:ind w:left="360"/>
      </w:pPr>
      <w:r>
        <w:t>·</w:t>
      </w:r>
      <w:r>
        <w:rPr>
          <w:rFonts w:ascii="Times New Roman" w:eastAsia="Times New Roman" w:hAnsi="Times New Roman" w:cs="Times New Roman"/>
          <w:sz w:val="14"/>
          <w:szCs w:val="14"/>
        </w:rPr>
        <w:t xml:space="preserve">         </w:t>
      </w:r>
      <w:r>
        <w:rPr>
          <w:rtl/>
        </w:rPr>
        <w:t>הפיקחות וההבנה הטובה: יכולת תפיסה מהירה ואינטואיטיבית.</w:t>
      </w:r>
    </w:p>
    <w:p w:rsidR="00E91342" w:rsidRDefault="00282C1C">
      <w:pPr>
        <w:bidi/>
        <w:ind w:left="360" w:right="360"/>
        <w:rPr>
          <w:b/>
        </w:rPr>
      </w:pPr>
      <w:r>
        <w:rPr>
          <w:b/>
          <w:rtl/>
        </w:rPr>
        <w:t>ב.</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tl/>
        </w:rPr>
        <w:t>מעלות אופי- שייכות לחלק השואף. החלק החש משרת את המעלות של החלק ה</w:t>
      </w:r>
      <w:r>
        <w:rPr>
          <w:b/>
          <w:rtl/>
        </w:rPr>
        <w:t>שואף</w:t>
      </w:r>
    </w:p>
    <w:p w:rsidR="00E91342" w:rsidRDefault="00282C1C">
      <w:pPr>
        <w:bidi/>
      </w:pPr>
      <w:r>
        <w:rPr>
          <w:rtl/>
        </w:rPr>
        <w:t>מעלות האופי הן תכונות מאוזנות (למשל, נדיבות). מגרעות האופי הן תכונות שיש בהן יותר מדי או פחות מדי מהתכונה המאוזנת (למשל, קמצנות או פזרנות).</w:t>
      </w:r>
    </w:p>
    <w:p w:rsidR="00E91342" w:rsidRDefault="00282C1C">
      <w:pPr>
        <w:bidi/>
      </w:pPr>
      <w:r>
        <w:rPr>
          <w:rtl/>
        </w:rPr>
        <w:t>לטענתו, בחלק המזין ובחלק המדמה אין מעלות או מגרעות. יש רק תפקוד תקין ("למישרין") או תפקוד משובש ("לא למישרין").</w:t>
      </w:r>
      <w:r>
        <w:rPr>
          <w:rtl/>
        </w:rPr>
        <w:t xml:space="preserve"> למשל, לאדם מסוים עלולות להיות הפרעות במערכת העיכול (החלק המזין) או כוח דמיון משובש (החלק המדמה), אך אין בכך תכונה רעה או לא מוסרית.</w:t>
      </w:r>
    </w:p>
    <w:p w:rsidR="00E91342" w:rsidRDefault="00E91342">
      <w:pPr>
        <w:bidi/>
      </w:pPr>
    </w:p>
    <w:sectPr w:rsidR="00E9134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24D"/>
    <w:multiLevelType w:val="multilevel"/>
    <w:tmpl w:val="AA283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F3C51EB"/>
    <w:multiLevelType w:val="multilevel"/>
    <w:tmpl w:val="C6E4A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42"/>
    <w:rsid w:val="00282C1C"/>
    <w:rsid w:val="00E913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FCD7B-37ED-4C37-8025-AAE5975A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1818</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2017-10-17T11:47:00Z</dcterms:created>
  <dcterms:modified xsi:type="dcterms:W3CDTF">2017-10-17T11:47:00Z</dcterms:modified>
</cp:coreProperties>
</file>