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CF4" w:rsidRPr="00286DE1" w:rsidRDefault="00A37CF4" w:rsidP="00286DE1">
      <w:pPr>
        <w:ind w:left="-341"/>
        <w:rPr>
          <w:rFonts w:cs="David"/>
          <w:sz w:val="24"/>
          <w:szCs w:val="24"/>
          <w:rtl/>
        </w:rPr>
      </w:pPr>
    </w:p>
    <w:p w:rsidR="00C36B15" w:rsidRPr="00C36B15" w:rsidRDefault="00C36B15" w:rsidP="00286DE1">
      <w:pPr>
        <w:spacing w:after="0" w:line="240" w:lineRule="auto"/>
        <w:ind w:left="-341"/>
        <w:jc w:val="center"/>
        <w:rPr>
          <w:rFonts w:ascii="Times New Roman" w:eastAsia="Times New Roman" w:hAnsi="Times New Roman" w:cs="David"/>
          <w:sz w:val="24"/>
          <w:szCs w:val="24"/>
        </w:rPr>
      </w:pPr>
      <w:r w:rsidRPr="00C36B15">
        <w:rPr>
          <w:rFonts w:ascii="Arial" w:eastAsia="Times New Roman" w:hAnsi="Arial" w:cs="David"/>
          <w:color w:val="000000"/>
          <w:sz w:val="24"/>
          <w:szCs w:val="24"/>
          <w:rtl/>
        </w:rPr>
        <w:t xml:space="preserve">עבודה מספר 3 </w:t>
      </w:r>
    </w:p>
    <w:p w:rsidR="00C36B15" w:rsidRPr="00C36B15" w:rsidRDefault="00C36B15" w:rsidP="00286DE1">
      <w:pPr>
        <w:spacing w:after="0" w:line="240" w:lineRule="auto"/>
        <w:ind w:left="-341"/>
        <w:jc w:val="center"/>
        <w:rPr>
          <w:rFonts w:ascii="Times New Roman" w:eastAsia="Times New Roman" w:hAnsi="Times New Roman" w:cs="David"/>
          <w:sz w:val="24"/>
          <w:szCs w:val="24"/>
          <w:rtl/>
        </w:rPr>
      </w:pPr>
      <w:r w:rsidRPr="00C36B15">
        <w:rPr>
          <w:rFonts w:ascii="Arial" w:eastAsia="Times New Roman" w:hAnsi="Arial" w:cs="David"/>
          <w:color w:val="000000"/>
          <w:sz w:val="24"/>
          <w:szCs w:val="24"/>
          <w:rtl/>
        </w:rPr>
        <w:t>הפרק הרביעי והחמישי:</w:t>
      </w:r>
    </w:p>
    <w:p w:rsidR="00C36B15" w:rsidRPr="00926A2C" w:rsidRDefault="00C36B15" w:rsidP="00286DE1">
      <w:pPr>
        <w:spacing w:after="0" w:line="360" w:lineRule="auto"/>
        <w:ind w:left="-341"/>
        <w:rPr>
          <w:rFonts w:ascii="Times New Roman" w:eastAsia="Times New Roman" w:hAnsi="Times New Roman" w:cs="David"/>
          <w:sz w:val="24"/>
          <w:szCs w:val="24"/>
          <w:u w:val="single"/>
          <w:rtl/>
        </w:rPr>
      </w:pPr>
      <w:r w:rsidRPr="00C36B15">
        <w:rPr>
          <w:rFonts w:ascii="Arial" w:eastAsia="Times New Roman" w:hAnsi="Arial" w:cs="David"/>
          <w:color w:val="000000"/>
          <w:sz w:val="24"/>
          <w:szCs w:val="24"/>
          <w:u w:val="single"/>
          <w:rtl/>
        </w:rPr>
        <w:t xml:space="preserve">שאלות על הפרק הרביעי: </w:t>
      </w:r>
    </w:p>
    <w:p w:rsidR="00C36B15" w:rsidRPr="00286DE1" w:rsidRDefault="00C36B15" w:rsidP="00286DE1">
      <w:pPr>
        <w:pStyle w:val="a3"/>
        <w:numPr>
          <w:ilvl w:val="0"/>
          <w:numId w:val="2"/>
        </w:numPr>
        <w:spacing w:after="0" w:line="360" w:lineRule="auto"/>
        <w:ind w:left="-341"/>
        <w:rPr>
          <w:rFonts w:ascii="Times New Roman" w:eastAsia="Times New Roman" w:hAnsi="Times New Roman" w:cs="David"/>
          <w:sz w:val="24"/>
          <w:szCs w:val="24"/>
          <w:rtl/>
        </w:rPr>
      </w:pPr>
      <w:r w:rsidRPr="00286DE1">
        <w:rPr>
          <w:rFonts w:ascii="Times New Roman" w:eastAsia="Times New Roman" w:hAnsi="Times New Roman" w:cs="David" w:hint="cs"/>
          <w:sz w:val="24"/>
          <w:szCs w:val="24"/>
          <w:rtl/>
        </w:rPr>
        <w:t xml:space="preserve">לפניכם טבלה עם תכונות שונות </w:t>
      </w:r>
    </w:p>
    <w:tbl>
      <w:tblPr>
        <w:tblpPr w:leftFromText="180" w:rightFromText="180" w:vertAnchor="text" w:tblpXSpec="center" w:tblpY="1"/>
        <w:tblOverlap w:val="never"/>
        <w:bidiVisual/>
        <w:tblW w:w="10329" w:type="dxa"/>
        <w:jc w:val="center"/>
        <w:tblCellMar>
          <w:left w:w="0" w:type="dxa"/>
          <w:right w:w="0" w:type="dxa"/>
        </w:tblCellMar>
        <w:tblLook w:val="0420" w:firstRow="1" w:lastRow="0" w:firstColumn="0" w:lastColumn="0" w:noHBand="0" w:noVBand="1"/>
      </w:tblPr>
      <w:tblGrid>
        <w:gridCol w:w="3443"/>
        <w:gridCol w:w="3443"/>
        <w:gridCol w:w="3443"/>
      </w:tblGrid>
      <w:tr w:rsidR="00C36B15" w:rsidRPr="00C36B15" w:rsidTr="00926A2C">
        <w:trPr>
          <w:trHeight w:val="175"/>
          <w:jc w:val="center"/>
        </w:trPr>
        <w:tc>
          <w:tcPr>
            <w:tcW w:w="3443" w:type="dxa"/>
            <w:tcBorders>
              <w:top w:val="single" w:sz="8" w:space="0" w:color="FFFFFF"/>
              <w:left w:val="single" w:sz="8" w:space="0" w:color="FFFFFF"/>
              <w:bottom w:val="single" w:sz="24" w:space="0" w:color="FFFFFF"/>
              <w:right w:val="single" w:sz="8" w:space="0" w:color="FFFFFF"/>
            </w:tcBorders>
            <w:shd w:val="clear" w:color="auto" w:fill="A7B789"/>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Pr>
            </w:pPr>
            <w:r w:rsidRPr="00C36B15">
              <w:rPr>
                <w:rFonts w:ascii="Calibri" w:eastAsia="Times New Roman" w:hAnsi="Arial" w:cs="David"/>
                <w:b/>
                <w:bCs/>
                <w:color w:val="FFFFFF" w:themeColor="light1"/>
                <w:kern w:val="24"/>
                <w:sz w:val="24"/>
                <w:szCs w:val="24"/>
                <w:rtl/>
              </w:rPr>
              <w:t>מגרעה- יותר מדי</w:t>
            </w:r>
          </w:p>
        </w:tc>
        <w:tc>
          <w:tcPr>
            <w:tcW w:w="3443" w:type="dxa"/>
            <w:tcBorders>
              <w:top w:val="single" w:sz="8" w:space="0" w:color="FFFFFF"/>
              <w:left w:val="single" w:sz="8" w:space="0" w:color="FFFFFF"/>
              <w:bottom w:val="single" w:sz="24" w:space="0" w:color="FFFFFF"/>
              <w:right w:val="single" w:sz="8" w:space="0" w:color="FFFFFF"/>
            </w:tcBorders>
            <w:shd w:val="clear" w:color="auto" w:fill="A7B789"/>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b/>
                <w:bCs/>
                <w:color w:val="FFFFFF" w:themeColor="background1"/>
                <w:kern w:val="24"/>
                <w:sz w:val="24"/>
                <w:szCs w:val="24"/>
                <w:rtl/>
              </w:rPr>
              <w:t>מעלה- איזון</w:t>
            </w:r>
          </w:p>
        </w:tc>
        <w:tc>
          <w:tcPr>
            <w:tcW w:w="3443" w:type="dxa"/>
            <w:tcBorders>
              <w:top w:val="single" w:sz="8" w:space="0" w:color="FFFFFF"/>
              <w:left w:val="single" w:sz="8" w:space="0" w:color="FFFFFF"/>
              <w:bottom w:val="single" w:sz="24" w:space="0" w:color="FFFFFF"/>
              <w:right w:val="single" w:sz="8" w:space="0" w:color="FFFFFF"/>
            </w:tcBorders>
            <w:shd w:val="clear" w:color="auto" w:fill="A7B789"/>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b/>
                <w:bCs/>
                <w:color w:val="FFFFFF" w:themeColor="light1"/>
                <w:kern w:val="24"/>
                <w:sz w:val="24"/>
                <w:szCs w:val="24"/>
                <w:rtl/>
              </w:rPr>
              <w:t>מגרעה- פחות מדי</w:t>
            </w:r>
          </w:p>
        </w:tc>
      </w:tr>
      <w:tr w:rsidR="00C36B15" w:rsidRPr="00C36B15" w:rsidTr="00926A2C">
        <w:trPr>
          <w:cantSplit/>
          <w:trHeight w:val="175"/>
          <w:jc w:val="center"/>
        </w:trPr>
        <w:tc>
          <w:tcPr>
            <w:tcW w:w="3443" w:type="dxa"/>
            <w:tcBorders>
              <w:top w:val="single" w:sz="24"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 xml:space="preserve">תאוותנות </w:t>
            </w:r>
          </w:p>
          <w:p w:rsidR="00C36B15" w:rsidRPr="00C36B15" w:rsidRDefault="00C36B15" w:rsidP="00926A2C">
            <w:pPr>
              <w:spacing w:after="0" w:line="360" w:lineRule="auto"/>
              <w:ind w:left="-341"/>
              <w:jc w:val="center"/>
              <w:rPr>
                <w:rFonts w:ascii="Arial" w:eastAsia="Times New Roman" w:hAnsi="Arial" w:cs="David"/>
                <w:sz w:val="24"/>
                <w:szCs w:val="24"/>
                <w:rtl/>
              </w:rPr>
            </w:pPr>
            <w:r w:rsidRPr="00C36B15">
              <w:rPr>
                <w:rFonts w:ascii="Calibri" w:eastAsia="Times New Roman" w:hAnsi="Calibri" w:cs="David"/>
                <w:color w:val="000000" w:themeColor="dark1"/>
                <w:kern w:val="24"/>
                <w:sz w:val="24"/>
                <w:szCs w:val="24"/>
                <w:rtl/>
              </w:rPr>
              <w:t>(רדיפה מוגזמת של תענוגות הגוף)</w:t>
            </w:r>
          </w:p>
        </w:tc>
        <w:tc>
          <w:tcPr>
            <w:tcW w:w="3443" w:type="dxa"/>
            <w:tcBorders>
              <w:top w:val="single" w:sz="24"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 xml:space="preserve">פרישות </w:t>
            </w:r>
          </w:p>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Calibri" w:cs="David"/>
                <w:color w:val="000000" w:themeColor="dark1"/>
                <w:kern w:val="24"/>
                <w:sz w:val="24"/>
                <w:szCs w:val="24"/>
                <w:rtl/>
              </w:rPr>
              <w:t>(הנאה מוגבלת מדברים חומריים)</w:t>
            </w:r>
          </w:p>
        </w:tc>
        <w:tc>
          <w:tcPr>
            <w:tcW w:w="3443" w:type="dxa"/>
            <w:tcBorders>
              <w:top w:val="single" w:sz="24"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text1"/>
                <w:kern w:val="24"/>
                <w:sz w:val="24"/>
                <w:szCs w:val="24"/>
                <w:rtl/>
              </w:rPr>
              <w:t xml:space="preserve">העדר תחושת הנאה </w:t>
            </w:r>
          </w:p>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Calibri" w:cs="David"/>
                <w:color w:val="000000" w:themeColor="dark1"/>
                <w:kern w:val="24"/>
                <w:sz w:val="24"/>
                <w:szCs w:val="24"/>
                <w:rtl/>
              </w:rPr>
              <w:t>(הימנעות מכל תענוג גופני)</w:t>
            </w:r>
          </w:p>
        </w:tc>
      </w:tr>
      <w:tr w:rsidR="00C36B15" w:rsidRPr="00C36B15" w:rsidTr="00926A2C">
        <w:trPr>
          <w:cantSplit/>
          <w:trHeight w:val="175"/>
          <w:jc w:val="center"/>
        </w:trPr>
        <w:tc>
          <w:tcPr>
            <w:tcW w:w="3443" w:type="dxa"/>
            <w:tcBorders>
              <w:top w:val="single" w:sz="8" w:space="0" w:color="FFFFFF"/>
              <w:left w:val="single" w:sz="8" w:space="0" w:color="FFFFFF"/>
              <w:bottom w:val="single" w:sz="8" w:space="0" w:color="FFFFFF"/>
              <w:right w:val="single" w:sz="8" w:space="0" w:color="FFFFFF"/>
            </w:tcBorders>
            <w:shd w:val="clear" w:color="auto" w:fill="F1F3ED"/>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text1"/>
                <w:kern w:val="24"/>
                <w:sz w:val="24"/>
                <w:szCs w:val="24"/>
                <w:rtl/>
              </w:rPr>
              <w:t>בזבזנות</w:t>
            </w:r>
          </w:p>
        </w:tc>
        <w:tc>
          <w:tcPr>
            <w:tcW w:w="3443" w:type="dxa"/>
            <w:tcBorders>
              <w:top w:val="single" w:sz="8" w:space="0" w:color="FFFFFF"/>
              <w:left w:val="single" w:sz="8" w:space="0" w:color="FFFFFF"/>
              <w:bottom w:val="single" w:sz="8" w:space="0" w:color="FFFFFF"/>
              <w:right w:val="single" w:sz="8" w:space="0" w:color="FFFFFF"/>
            </w:tcBorders>
            <w:shd w:val="clear" w:color="auto" w:fill="F1F3ED"/>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נדיבות</w:t>
            </w:r>
          </w:p>
        </w:tc>
        <w:tc>
          <w:tcPr>
            <w:tcW w:w="3443" w:type="dxa"/>
            <w:tcBorders>
              <w:top w:val="single" w:sz="8" w:space="0" w:color="FFFFFF"/>
              <w:left w:val="single" w:sz="8" w:space="0" w:color="FFFFFF"/>
              <w:bottom w:val="single" w:sz="8" w:space="0" w:color="FFFFFF"/>
              <w:right w:val="single" w:sz="8" w:space="0" w:color="FFFFFF"/>
            </w:tcBorders>
            <w:shd w:val="clear" w:color="auto" w:fill="F1F3ED"/>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קמצנות</w:t>
            </w:r>
          </w:p>
        </w:tc>
      </w:tr>
      <w:tr w:rsidR="00C36B15" w:rsidRPr="00C36B15" w:rsidTr="00926A2C">
        <w:trPr>
          <w:cantSplit/>
          <w:trHeight w:val="175"/>
          <w:jc w:val="center"/>
        </w:trPr>
        <w:tc>
          <w:tcPr>
            <w:tcW w:w="3443" w:type="dxa"/>
            <w:tcBorders>
              <w:top w:val="single" w:sz="8"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text1"/>
                <w:kern w:val="24"/>
                <w:sz w:val="24"/>
                <w:szCs w:val="24"/>
                <w:rtl/>
              </w:rPr>
              <w:t>הסתכנות מתוך קלות דעת</w:t>
            </w:r>
          </w:p>
        </w:tc>
        <w:tc>
          <w:tcPr>
            <w:tcW w:w="3443" w:type="dxa"/>
            <w:tcBorders>
              <w:top w:val="single" w:sz="8"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אומץ-לב</w:t>
            </w:r>
          </w:p>
        </w:tc>
        <w:tc>
          <w:tcPr>
            <w:tcW w:w="3443" w:type="dxa"/>
            <w:tcBorders>
              <w:top w:val="single" w:sz="8"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פחדנות</w:t>
            </w:r>
          </w:p>
        </w:tc>
      </w:tr>
      <w:tr w:rsidR="00C36B15" w:rsidRPr="00C36B15" w:rsidTr="00926A2C">
        <w:trPr>
          <w:cantSplit/>
          <w:trHeight w:val="175"/>
          <w:jc w:val="center"/>
        </w:trPr>
        <w:tc>
          <w:tcPr>
            <w:tcW w:w="3443" w:type="dxa"/>
            <w:tcBorders>
              <w:top w:val="single" w:sz="8" w:space="0" w:color="FFFFFF"/>
              <w:left w:val="single" w:sz="8" w:space="0" w:color="FFFFFF"/>
              <w:bottom w:val="single" w:sz="8" w:space="0" w:color="FFFFFF"/>
              <w:right w:val="single" w:sz="8" w:space="0" w:color="FFFFFF"/>
            </w:tcBorders>
            <w:shd w:val="clear" w:color="auto" w:fill="F1F3ED"/>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ניבול פה</w:t>
            </w:r>
          </w:p>
        </w:tc>
        <w:tc>
          <w:tcPr>
            <w:tcW w:w="3443" w:type="dxa"/>
            <w:tcBorders>
              <w:top w:val="single" w:sz="8" w:space="0" w:color="FFFFFF"/>
              <w:left w:val="single" w:sz="8" w:space="0" w:color="FFFFFF"/>
              <w:bottom w:val="single" w:sz="8" w:space="0" w:color="FFFFFF"/>
              <w:right w:val="single" w:sz="8" w:space="0" w:color="FFFFFF"/>
            </w:tcBorders>
            <w:shd w:val="clear" w:color="auto" w:fill="F1F3ED"/>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 xml:space="preserve">בדיחות-הדעת </w:t>
            </w:r>
            <w:r w:rsidRPr="00C36B15">
              <w:rPr>
                <w:rFonts w:ascii="Calibri" w:eastAsia="Times New Roman" w:hAnsi="Calibri" w:cs="David"/>
                <w:color w:val="000000" w:themeColor="dark1"/>
                <w:kern w:val="24"/>
                <w:sz w:val="24"/>
                <w:szCs w:val="24"/>
              </w:rPr>
              <w:br/>
            </w:r>
            <w:r w:rsidRPr="00C36B15">
              <w:rPr>
                <w:rFonts w:ascii="Calibri" w:eastAsia="Times New Roman" w:hAnsi="Calibri" w:cs="David"/>
                <w:color w:val="000000" w:themeColor="dark1"/>
                <w:kern w:val="24"/>
                <w:sz w:val="24"/>
                <w:szCs w:val="24"/>
                <w:rtl/>
              </w:rPr>
              <w:t>(רוח טובה, נטייה מסוימת להומור)</w:t>
            </w:r>
          </w:p>
        </w:tc>
        <w:tc>
          <w:tcPr>
            <w:tcW w:w="3443" w:type="dxa"/>
            <w:tcBorders>
              <w:top w:val="single" w:sz="8" w:space="0" w:color="FFFFFF"/>
              <w:left w:val="single" w:sz="8" w:space="0" w:color="FFFFFF"/>
              <w:bottom w:val="single" w:sz="8" w:space="0" w:color="FFFFFF"/>
              <w:right w:val="single" w:sz="8" w:space="0" w:color="FFFFFF"/>
            </w:tcBorders>
            <w:shd w:val="clear" w:color="auto" w:fill="F1F3ED"/>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 xml:space="preserve">כבדות בדיבור </w:t>
            </w:r>
          </w:p>
        </w:tc>
      </w:tr>
      <w:tr w:rsidR="00C36B15" w:rsidRPr="00C36B15" w:rsidTr="00926A2C">
        <w:trPr>
          <w:cantSplit/>
          <w:trHeight w:val="175"/>
          <w:jc w:val="center"/>
        </w:trPr>
        <w:tc>
          <w:tcPr>
            <w:tcW w:w="3443" w:type="dxa"/>
            <w:tcBorders>
              <w:top w:val="single" w:sz="8"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 xml:space="preserve">גאווה </w:t>
            </w:r>
          </w:p>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Calibri" w:cs="David"/>
                <w:color w:val="000000" w:themeColor="dark1"/>
                <w:kern w:val="24"/>
                <w:sz w:val="24"/>
                <w:szCs w:val="24"/>
                <w:rtl/>
              </w:rPr>
              <w:t>(הערכה עצמית מופרזת ורדיפת כבוד)</w:t>
            </w:r>
          </w:p>
        </w:tc>
        <w:tc>
          <w:tcPr>
            <w:tcW w:w="3443" w:type="dxa"/>
            <w:tcBorders>
              <w:top w:val="single" w:sz="8"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 xml:space="preserve">ענווה </w:t>
            </w:r>
          </w:p>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Calibri" w:cs="David"/>
                <w:color w:val="000000" w:themeColor="dark1"/>
                <w:kern w:val="24"/>
                <w:sz w:val="24"/>
                <w:szCs w:val="24"/>
                <w:rtl/>
              </w:rPr>
              <w:t>(צניעות, הערכה עצמית נאותה, אי-רדיפת כבוד)</w:t>
            </w:r>
          </w:p>
        </w:tc>
        <w:tc>
          <w:tcPr>
            <w:tcW w:w="3443" w:type="dxa"/>
            <w:tcBorders>
              <w:top w:val="single" w:sz="8"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שפלות</w:t>
            </w:r>
            <w:r w:rsidRPr="00C36B15">
              <w:rPr>
                <w:rFonts w:ascii="Calibri" w:eastAsia="Times New Roman" w:hAnsi="Calibri" w:cs="David"/>
                <w:color w:val="000000" w:themeColor="dark1"/>
                <w:kern w:val="24"/>
                <w:sz w:val="24"/>
                <w:szCs w:val="24"/>
                <w:rtl/>
              </w:rPr>
              <w:t xml:space="preserve"> רוח </w:t>
            </w:r>
          </w:p>
          <w:p w:rsidR="00C36B15" w:rsidRPr="00C36B15" w:rsidRDefault="00926A2C" w:rsidP="00286DE1">
            <w:pPr>
              <w:spacing w:after="0" w:line="360" w:lineRule="auto"/>
              <w:ind w:left="-341"/>
              <w:jc w:val="center"/>
              <w:rPr>
                <w:rFonts w:ascii="Arial" w:eastAsia="Times New Roman" w:hAnsi="Arial" w:cs="David"/>
                <w:sz w:val="24"/>
                <w:szCs w:val="24"/>
                <w:rtl/>
              </w:rPr>
            </w:pPr>
            <w:r>
              <w:rPr>
                <w:rFonts w:ascii="Calibri" w:eastAsia="Times New Roman" w:hAnsi="Calibri" w:cs="David"/>
                <w:color w:val="000000" w:themeColor="dark1"/>
                <w:kern w:val="24"/>
                <w:sz w:val="24"/>
                <w:szCs w:val="24"/>
                <w:rtl/>
              </w:rPr>
              <w:t>(</w:t>
            </w:r>
            <w:r w:rsidR="00C36B15" w:rsidRPr="00C36B15">
              <w:rPr>
                <w:rFonts w:ascii="Calibri" w:eastAsia="Times New Roman" w:hAnsi="Calibri" w:cs="David"/>
                <w:color w:val="000000" w:themeColor="dark1"/>
                <w:kern w:val="24"/>
                <w:sz w:val="24"/>
                <w:szCs w:val="24"/>
                <w:rtl/>
              </w:rPr>
              <w:t>ביטול עצמי)</w:t>
            </w:r>
          </w:p>
        </w:tc>
      </w:tr>
      <w:tr w:rsidR="00C36B15" w:rsidRPr="00C36B15" w:rsidTr="00926A2C">
        <w:trPr>
          <w:cantSplit/>
          <w:trHeight w:val="175"/>
          <w:jc w:val="center"/>
        </w:trPr>
        <w:tc>
          <w:tcPr>
            <w:tcW w:w="3443" w:type="dxa"/>
            <w:tcBorders>
              <w:top w:val="single" w:sz="8" w:space="0" w:color="FFFFFF"/>
              <w:left w:val="single" w:sz="8" w:space="0" w:color="FFFFFF"/>
              <w:bottom w:val="single" w:sz="8" w:space="0" w:color="FFFFFF"/>
              <w:right w:val="single" w:sz="8" w:space="0" w:color="FFFFFF"/>
            </w:tcBorders>
            <w:shd w:val="clear" w:color="auto" w:fill="F1F3ED"/>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text1"/>
                <w:kern w:val="24"/>
                <w:sz w:val="24"/>
                <w:szCs w:val="24"/>
                <w:rtl/>
              </w:rPr>
              <w:t>פזרנות</w:t>
            </w:r>
          </w:p>
        </w:tc>
        <w:tc>
          <w:tcPr>
            <w:tcW w:w="3443" w:type="dxa"/>
            <w:tcBorders>
              <w:top w:val="single" w:sz="8" w:space="0" w:color="FFFFFF"/>
              <w:left w:val="single" w:sz="8" w:space="0" w:color="FFFFFF"/>
              <w:bottom w:val="single" w:sz="8" w:space="0" w:color="FFFFFF"/>
              <w:right w:val="single" w:sz="8" w:space="0" w:color="FFFFFF"/>
            </w:tcBorders>
            <w:shd w:val="clear" w:color="auto" w:fill="F1F3ED"/>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רוחב לב</w:t>
            </w:r>
          </w:p>
        </w:tc>
        <w:tc>
          <w:tcPr>
            <w:tcW w:w="3443" w:type="dxa"/>
            <w:tcBorders>
              <w:top w:val="single" w:sz="8" w:space="0" w:color="FFFFFF"/>
              <w:left w:val="single" w:sz="8" w:space="0" w:color="FFFFFF"/>
              <w:bottom w:val="single" w:sz="8" w:space="0" w:color="FFFFFF"/>
              <w:right w:val="single" w:sz="8" w:space="0" w:color="FFFFFF"/>
            </w:tcBorders>
            <w:shd w:val="clear" w:color="auto" w:fill="F1F3ED"/>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כילות (קמצנות)</w:t>
            </w:r>
          </w:p>
        </w:tc>
      </w:tr>
      <w:tr w:rsidR="00C36B15" w:rsidRPr="00C36B15" w:rsidTr="00926A2C">
        <w:trPr>
          <w:cantSplit/>
          <w:trHeight w:val="175"/>
          <w:jc w:val="center"/>
        </w:trPr>
        <w:tc>
          <w:tcPr>
            <w:tcW w:w="3443" w:type="dxa"/>
            <w:tcBorders>
              <w:top w:val="single" w:sz="8"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926A2C">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 xml:space="preserve">חמדנות </w:t>
            </w:r>
          </w:p>
        </w:tc>
        <w:tc>
          <w:tcPr>
            <w:tcW w:w="3443" w:type="dxa"/>
            <w:tcBorders>
              <w:top w:val="single" w:sz="8"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926A2C">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 xml:space="preserve">הסתפקות </w:t>
            </w:r>
          </w:p>
        </w:tc>
        <w:tc>
          <w:tcPr>
            <w:tcW w:w="3443" w:type="dxa"/>
            <w:tcBorders>
              <w:top w:val="single" w:sz="8"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926A2C">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 xml:space="preserve">עצלות </w:t>
            </w:r>
          </w:p>
        </w:tc>
      </w:tr>
      <w:tr w:rsidR="00C36B15" w:rsidRPr="00C36B15" w:rsidTr="00926A2C">
        <w:trPr>
          <w:cantSplit/>
          <w:trHeight w:val="175"/>
          <w:jc w:val="center"/>
        </w:trPr>
        <w:tc>
          <w:tcPr>
            <w:tcW w:w="3443" w:type="dxa"/>
            <w:tcBorders>
              <w:top w:val="single" w:sz="8" w:space="0" w:color="FFFFFF"/>
              <w:left w:val="single" w:sz="8" w:space="0" w:color="FFFFFF"/>
              <w:bottom w:val="single" w:sz="8" w:space="0" w:color="FFFFFF"/>
              <w:right w:val="single" w:sz="8" w:space="0" w:color="FFFFFF"/>
            </w:tcBorders>
            <w:shd w:val="clear" w:color="auto" w:fill="F1F3ED"/>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כעס</w:t>
            </w:r>
          </w:p>
        </w:tc>
        <w:tc>
          <w:tcPr>
            <w:tcW w:w="3443" w:type="dxa"/>
            <w:tcBorders>
              <w:top w:val="single" w:sz="8" w:space="0" w:color="FFFFFF"/>
              <w:left w:val="single" w:sz="8" w:space="0" w:color="FFFFFF"/>
              <w:bottom w:val="single" w:sz="8" w:space="0" w:color="FFFFFF"/>
              <w:right w:val="single" w:sz="8" w:space="0" w:color="FFFFFF"/>
            </w:tcBorders>
            <w:shd w:val="clear" w:color="auto" w:fill="F1F3ED"/>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מתינות / סבלנות</w:t>
            </w:r>
          </w:p>
        </w:tc>
        <w:tc>
          <w:tcPr>
            <w:tcW w:w="3443" w:type="dxa"/>
            <w:tcBorders>
              <w:top w:val="single" w:sz="8" w:space="0" w:color="FFFFFF"/>
              <w:left w:val="single" w:sz="8" w:space="0" w:color="FFFFFF"/>
              <w:bottom w:val="single" w:sz="8" w:space="0" w:color="FFFFFF"/>
              <w:right w:val="single" w:sz="8" w:space="0" w:color="FFFFFF"/>
            </w:tcBorders>
            <w:shd w:val="clear" w:color="auto" w:fill="F1F3ED"/>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התרפסות</w:t>
            </w:r>
          </w:p>
        </w:tc>
      </w:tr>
      <w:tr w:rsidR="00C36B15" w:rsidRPr="00C36B15" w:rsidTr="00926A2C">
        <w:trPr>
          <w:cantSplit/>
          <w:trHeight w:val="175"/>
          <w:jc w:val="center"/>
        </w:trPr>
        <w:tc>
          <w:tcPr>
            <w:tcW w:w="3443" w:type="dxa"/>
            <w:tcBorders>
              <w:top w:val="single" w:sz="8"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חוצפה</w:t>
            </w:r>
          </w:p>
        </w:tc>
        <w:tc>
          <w:tcPr>
            <w:tcW w:w="3443" w:type="dxa"/>
            <w:tcBorders>
              <w:top w:val="single" w:sz="8"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ביישנות</w:t>
            </w:r>
          </w:p>
        </w:tc>
        <w:tc>
          <w:tcPr>
            <w:tcW w:w="3443" w:type="dxa"/>
            <w:tcBorders>
              <w:top w:val="single" w:sz="8" w:space="0" w:color="FFFFFF"/>
              <w:left w:val="single" w:sz="8" w:space="0" w:color="FFFFFF"/>
              <w:bottom w:val="single" w:sz="8" w:space="0" w:color="FFFFFF"/>
              <w:right w:val="single" w:sz="8" w:space="0" w:color="FFFFFF"/>
            </w:tcBorders>
            <w:shd w:val="clear" w:color="auto" w:fill="E1E6DA"/>
            <w:noWrap/>
            <w:tcMar>
              <w:top w:w="72" w:type="dxa"/>
              <w:left w:w="144" w:type="dxa"/>
              <w:bottom w:w="72" w:type="dxa"/>
              <w:right w:w="144" w:type="dxa"/>
            </w:tcMar>
            <w:hideMark/>
          </w:tcPr>
          <w:p w:rsidR="00C36B15" w:rsidRPr="00C36B15" w:rsidRDefault="00C36B15" w:rsidP="00286DE1">
            <w:pPr>
              <w:spacing w:after="0" w:line="360" w:lineRule="auto"/>
              <w:ind w:left="-341"/>
              <w:jc w:val="center"/>
              <w:rPr>
                <w:rFonts w:ascii="Arial" w:eastAsia="Times New Roman" w:hAnsi="Arial" w:cs="David"/>
                <w:sz w:val="24"/>
                <w:szCs w:val="24"/>
                <w:rtl/>
              </w:rPr>
            </w:pPr>
            <w:r w:rsidRPr="00C36B15">
              <w:rPr>
                <w:rFonts w:ascii="Calibri" w:eastAsia="Times New Roman" w:hAnsi="Arial" w:cs="David"/>
                <w:color w:val="000000" w:themeColor="dark1"/>
                <w:kern w:val="24"/>
                <w:sz w:val="24"/>
                <w:szCs w:val="24"/>
                <w:rtl/>
              </w:rPr>
              <w:t>מבוכה</w:t>
            </w:r>
          </w:p>
        </w:tc>
      </w:tr>
    </w:tbl>
    <w:p w:rsidR="00C36B15" w:rsidRPr="00286DE1" w:rsidRDefault="00C36B15" w:rsidP="00286DE1">
      <w:pPr>
        <w:pStyle w:val="a3"/>
        <w:numPr>
          <w:ilvl w:val="0"/>
          <w:numId w:val="1"/>
        </w:numPr>
        <w:spacing w:line="360" w:lineRule="auto"/>
        <w:ind w:left="368"/>
        <w:rPr>
          <w:rFonts w:cs="David"/>
          <w:sz w:val="24"/>
          <w:szCs w:val="24"/>
        </w:rPr>
      </w:pPr>
      <w:r w:rsidRPr="00286DE1">
        <w:rPr>
          <w:rFonts w:cs="David" w:hint="cs"/>
          <w:sz w:val="24"/>
          <w:szCs w:val="24"/>
          <w:rtl/>
        </w:rPr>
        <w:t xml:space="preserve">מתוך הטבלה, בחרו שתי תכונות והסבירו מדוע המידות הקיצוניות אינן טובות לאדם. </w:t>
      </w:r>
    </w:p>
    <w:p w:rsidR="00C36B15" w:rsidRPr="00286DE1" w:rsidRDefault="00C36B15" w:rsidP="00286DE1">
      <w:pPr>
        <w:pStyle w:val="a3"/>
        <w:numPr>
          <w:ilvl w:val="0"/>
          <w:numId w:val="1"/>
        </w:numPr>
        <w:spacing w:line="360" w:lineRule="auto"/>
        <w:ind w:left="368"/>
        <w:rPr>
          <w:rFonts w:cs="David"/>
          <w:sz w:val="24"/>
          <w:szCs w:val="24"/>
        </w:rPr>
      </w:pPr>
      <w:r w:rsidRPr="00286DE1">
        <w:rPr>
          <w:rFonts w:cs="David" w:hint="cs"/>
          <w:sz w:val="24"/>
          <w:szCs w:val="24"/>
          <w:rtl/>
        </w:rPr>
        <w:t xml:space="preserve">הוסיפו שורה משלכם לטבלה והסבירו את השיקולים בבחירת נקודות האיזון בין המגרעות. </w:t>
      </w:r>
    </w:p>
    <w:p w:rsidR="00C36B15" w:rsidRPr="00286DE1" w:rsidRDefault="00BB4AA1" w:rsidP="00286DE1">
      <w:pPr>
        <w:pStyle w:val="a3"/>
        <w:numPr>
          <w:ilvl w:val="0"/>
          <w:numId w:val="2"/>
        </w:numPr>
        <w:spacing w:line="360" w:lineRule="auto"/>
        <w:ind w:left="-341"/>
        <w:rPr>
          <w:rFonts w:cs="David"/>
          <w:sz w:val="24"/>
          <w:szCs w:val="24"/>
        </w:rPr>
      </w:pPr>
      <w:r w:rsidRPr="00286DE1">
        <w:rPr>
          <w:rFonts w:cs="David" w:hint="cs"/>
          <w:sz w:val="24"/>
          <w:szCs w:val="24"/>
          <w:rtl/>
        </w:rPr>
        <w:t xml:space="preserve">קראו פסקאות ח-ט </w:t>
      </w:r>
    </w:p>
    <w:p w:rsidR="00BB4AA1" w:rsidRPr="00286DE1" w:rsidRDefault="00286DE1" w:rsidP="00286DE1">
      <w:pPr>
        <w:spacing w:line="360" w:lineRule="auto"/>
        <w:ind w:left="-341"/>
        <w:rPr>
          <w:rFonts w:cs="David" w:hint="cs"/>
          <w:sz w:val="24"/>
          <w:szCs w:val="24"/>
        </w:rPr>
      </w:pPr>
      <w:r>
        <w:rPr>
          <w:rFonts w:cs="David" w:hint="cs"/>
          <w:sz w:val="24"/>
          <w:szCs w:val="24"/>
          <w:rtl/>
        </w:rPr>
        <w:t xml:space="preserve">      </w:t>
      </w:r>
      <w:r w:rsidR="00BB4AA1" w:rsidRPr="00286DE1">
        <w:rPr>
          <w:rFonts w:cs="David" w:hint="cs"/>
          <w:sz w:val="24"/>
          <w:szCs w:val="24"/>
          <w:rtl/>
        </w:rPr>
        <w:t xml:space="preserve">  הסבירו מהי הדרך לריפוי מחלת הגוף שהרמב"ם מציע. הציעו דוגמאות. </w:t>
      </w:r>
    </w:p>
    <w:p w:rsidR="00BB4AA1" w:rsidRPr="00286DE1" w:rsidRDefault="00286DE1" w:rsidP="00286DE1">
      <w:pPr>
        <w:pStyle w:val="a3"/>
        <w:numPr>
          <w:ilvl w:val="0"/>
          <w:numId w:val="2"/>
        </w:numPr>
        <w:spacing w:line="360" w:lineRule="auto"/>
        <w:ind w:left="-341"/>
        <w:rPr>
          <w:rFonts w:cs="David"/>
          <w:b/>
          <w:bCs/>
          <w:sz w:val="24"/>
          <w:szCs w:val="24"/>
        </w:rPr>
      </w:pPr>
      <w:r w:rsidRPr="00286DE1">
        <w:rPr>
          <w:rFonts w:cs="David" w:hint="cs"/>
          <w:b/>
          <w:bCs/>
          <w:sz w:val="24"/>
          <w:szCs w:val="24"/>
          <w:rtl/>
        </w:rPr>
        <w:t xml:space="preserve">טעם המצוות: </w:t>
      </w:r>
    </w:p>
    <w:p w:rsidR="00BB4AA1" w:rsidRPr="00286DE1" w:rsidRDefault="00C36B15" w:rsidP="00286DE1">
      <w:pPr>
        <w:pStyle w:val="a3"/>
        <w:numPr>
          <w:ilvl w:val="0"/>
          <w:numId w:val="4"/>
        </w:numPr>
        <w:spacing w:line="360" w:lineRule="auto"/>
        <w:ind w:left="368"/>
        <w:rPr>
          <w:rFonts w:cs="David"/>
          <w:sz w:val="24"/>
          <w:szCs w:val="24"/>
          <w:rtl/>
        </w:rPr>
      </w:pPr>
      <w:r w:rsidRPr="00286DE1">
        <w:rPr>
          <w:rFonts w:cs="David"/>
          <w:sz w:val="24"/>
          <w:szCs w:val="24"/>
          <w:rtl/>
        </w:rPr>
        <w:t xml:space="preserve">לפי </w:t>
      </w:r>
      <w:r w:rsidR="00BB4AA1" w:rsidRPr="00286DE1">
        <w:rPr>
          <w:rFonts w:cs="David" w:hint="cs"/>
          <w:sz w:val="24"/>
          <w:szCs w:val="24"/>
          <w:rtl/>
        </w:rPr>
        <w:t>פסקה טו</w:t>
      </w:r>
      <w:r w:rsidRPr="00286DE1">
        <w:rPr>
          <w:rFonts w:cs="David"/>
          <w:sz w:val="24"/>
          <w:szCs w:val="24"/>
          <w:rtl/>
        </w:rPr>
        <w:t>, הסב</w:t>
      </w:r>
      <w:r w:rsidR="00BB4AA1" w:rsidRPr="00286DE1">
        <w:rPr>
          <w:rFonts w:cs="David" w:hint="cs"/>
          <w:sz w:val="24"/>
          <w:szCs w:val="24"/>
          <w:rtl/>
        </w:rPr>
        <w:t>י</w:t>
      </w:r>
      <w:r w:rsidRPr="00286DE1">
        <w:rPr>
          <w:rFonts w:cs="David"/>
          <w:sz w:val="24"/>
          <w:szCs w:val="24"/>
          <w:rtl/>
        </w:rPr>
        <w:t>ר</w:t>
      </w:r>
      <w:r w:rsidR="00BB4AA1" w:rsidRPr="00286DE1">
        <w:rPr>
          <w:rFonts w:cs="David" w:hint="cs"/>
          <w:sz w:val="24"/>
          <w:szCs w:val="24"/>
          <w:rtl/>
        </w:rPr>
        <w:t>ו</w:t>
      </w:r>
      <w:r w:rsidRPr="00286DE1">
        <w:rPr>
          <w:rFonts w:cs="David"/>
          <w:sz w:val="24"/>
          <w:szCs w:val="24"/>
          <w:rtl/>
        </w:rPr>
        <w:t xml:space="preserve"> כיצד מצוות התורה משפיעות על האדם</w:t>
      </w:r>
    </w:p>
    <w:p w:rsidR="00BB4AA1" w:rsidRPr="00286DE1" w:rsidRDefault="00BB4AA1" w:rsidP="00286DE1">
      <w:pPr>
        <w:pStyle w:val="a3"/>
        <w:numPr>
          <w:ilvl w:val="0"/>
          <w:numId w:val="4"/>
        </w:numPr>
        <w:spacing w:line="360" w:lineRule="auto"/>
        <w:ind w:left="368"/>
        <w:rPr>
          <w:rFonts w:cs="David"/>
          <w:sz w:val="24"/>
          <w:szCs w:val="24"/>
        </w:rPr>
      </w:pPr>
      <w:r w:rsidRPr="00286DE1">
        <w:rPr>
          <w:rFonts w:cs="David" w:hint="cs"/>
          <w:sz w:val="24"/>
          <w:szCs w:val="24"/>
          <w:rtl/>
        </w:rPr>
        <w:t xml:space="preserve">קראו את הקטע הבא: </w:t>
      </w:r>
    </w:p>
    <w:p w:rsidR="00286DE1" w:rsidRDefault="00C36B15" w:rsidP="00286DE1">
      <w:pPr>
        <w:pBdr>
          <w:top w:val="single" w:sz="4" w:space="1" w:color="auto"/>
          <w:left w:val="single" w:sz="4" w:space="4" w:color="auto"/>
          <w:bottom w:val="single" w:sz="4" w:space="1" w:color="auto"/>
          <w:right w:val="single" w:sz="4" w:space="4" w:color="auto"/>
        </w:pBdr>
        <w:spacing w:line="360" w:lineRule="auto"/>
        <w:ind w:left="-625" w:right="-426"/>
        <w:rPr>
          <w:rFonts w:cs="David"/>
          <w:sz w:val="24"/>
          <w:szCs w:val="24"/>
          <w:rtl/>
        </w:rPr>
      </w:pPr>
      <w:r w:rsidRPr="00286DE1">
        <w:rPr>
          <w:rFonts w:cs="David"/>
          <w:sz w:val="24"/>
          <w:szCs w:val="24"/>
          <w:rtl/>
        </w:rPr>
        <w:t>נהוג לחשוב שהתנהגות מוסרית פירושה התנהגות על פי צו או כלל מסוים, אך אריסטו סבור שבכך אנו מחמיצים מאפיין ייחודי של טוהר המידות המוסרי. גם מי שמצויד בכלל הנכון אינו יודע תמיד איך או מתי ליישם את הכלל הזה</w:t>
      </w:r>
      <w:r w:rsidR="00BB4AA1" w:rsidRPr="00286DE1">
        <w:rPr>
          <w:rFonts w:cs="David" w:hint="cs"/>
          <w:sz w:val="24"/>
          <w:szCs w:val="24"/>
          <w:rtl/>
        </w:rPr>
        <w:t xml:space="preserve"> [...]</w:t>
      </w:r>
      <w:r w:rsidRPr="00286DE1">
        <w:rPr>
          <w:rFonts w:cs="David"/>
          <w:sz w:val="24"/>
          <w:szCs w:val="24"/>
          <w:rtl/>
        </w:rPr>
        <w:t xml:space="preserve"> הדבר הכללי היחיד שאפשר לומר על טוהר מידות מוסרי, לדברי אריסטו, הוא שזהו אמצע </w:t>
      </w:r>
      <w:r w:rsidR="00BB4AA1" w:rsidRPr="00286DE1">
        <w:rPr>
          <w:rFonts w:cs="David"/>
          <w:sz w:val="24"/>
          <w:szCs w:val="24"/>
          <w:rtl/>
        </w:rPr>
        <w:t xml:space="preserve">בין נקודות קיצון </w:t>
      </w:r>
      <w:r w:rsidR="00BB4AA1" w:rsidRPr="00286DE1">
        <w:rPr>
          <w:rFonts w:cs="David" w:hint="cs"/>
          <w:sz w:val="24"/>
          <w:szCs w:val="24"/>
          <w:rtl/>
        </w:rPr>
        <w:t>[...]</w:t>
      </w:r>
      <w:r w:rsidR="00BB4AA1" w:rsidRPr="00286DE1">
        <w:rPr>
          <w:rFonts w:cs="David"/>
          <w:sz w:val="24"/>
          <w:szCs w:val="24"/>
          <w:rtl/>
        </w:rPr>
        <w:t xml:space="preserve"> </w:t>
      </w:r>
      <w:r w:rsidR="00BB4AA1" w:rsidRPr="00286DE1">
        <w:rPr>
          <w:rFonts w:cs="David" w:hint="cs"/>
          <w:sz w:val="24"/>
          <w:szCs w:val="24"/>
          <w:rtl/>
        </w:rPr>
        <w:t>(</w:t>
      </w:r>
      <w:r w:rsidR="00BB4AA1" w:rsidRPr="00286DE1">
        <w:rPr>
          <w:rFonts w:cs="David"/>
          <w:sz w:val="24"/>
          <w:szCs w:val="24"/>
          <w:rtl/>
        </w:rPr>
        <w:t>אף על פי</w:t>
      </w:r>
      <w:r w:rsidR="00BB4AA1" w:rsidRPr="00286DE1">
        <w:rPr>
          <w:rFonts w:cs="David" w:hint="cs"/>
          <w:sz w:val="24"/>
          <w:szCs w:val="24"/>
          <w:rtl/>
        </w:rPr>
        <w:t>)</w:t>
      </w:r>
      <w:r w:rsidRPr="00286DE1">
        <w:rPr>
          <w:rFonts w:cs="David"/>
          <w:sz w:val="24"/>
          <w:szCs w:val="24"/>
          <w:rtl/>
        </w:rPr>
        <w:t xml:space="preserve"> שלא קל להבחין באמצע בכל מצב נתון</w:t>
      </w:r>
      <w:r w:rsidR="00BB4AA1" w:rsidRPr="00286DE1">
        <w:rPr>
          <w:rFonts w:cs="David" w:hint="cs"/>
          <w:sz w:val="24"/>
          <w:szCs w:val="24"/>
          <w:rtl/>
        </w:rPr>
        <w:t xml:space="preserve">.    </w:t>
      </w:r>
    </w:p>
    <w:p w:rsidR="00BB4AA1" w:rsidRPr="00286DE1" w:rsidRDefault="00286DE1" w:rsidP="00286DE1">
      <w:pPr>
        <w:pBdr>
          <w:top w:val="single" w:sz="4" w:space="1" w:color="auto"/>
          <w:left w:val="single" w:sz="4" w:space="4" w:color="auto"/>
          <w:bottom w:val="single" w:sz="4" w:space="1" w:color="auto"/>
          <w:right w:val="single" w:sz="4" w:space="4" w:color="auto"/>
        </w:pBdr>
        <w:spacing w:line="360" w:lineRule="auto"/>
        <w:ind w:left="-625" w:right="-426"/>
        <w:rPr>
          <w:rFonts w:cs="David"/>
          <w:sz w:val="24"/>
          <w:szCs w:val="24"/>
          <w:rtl/>
        </w:rPr>
      </w:pPr>
      <w:r>
        <w:rPr>
          <w:rFonts w:cs="David" w:hint="cs"/>
          <w:sz w:val="24"/>
          <w:szCs w:val="24"/>
          <w:rtl/>
        </w:rPr>
        <w:t xml:space="preserve">                                                                  </w:t>
      </w:r>
      <w:r w:rsidR="00BB4AA1" w:rsidRPr="00286DE1">
        <w:rPr>
          <w:rFonts w:cs="David" w:hint="cs"/>
          <w:sz w:val="24"/>
          <w:szCs w:val="24"/>
          <w:rtl/>
        </w:rPr>
        <w:t xml:space="preserve">     </w:t>
      </w:r>
      <w:r>
        <w:rPr>
          <w:rFonts w:cs="David"/>
          <w:sz w:val="24"/>
          <w:szCs w:val="24"/>
          <w:rtl/>
        </w:rPr>
        <w:t>מתוך: סנדל, מ' תשע"ב</w:t>
      </w:r>
      <w:r w:rsidR="00C36B15" w:rsidRPr="00286DE1">
        <w:rPr>
          <w:rFonts w:cs="David"/>
          <w:sz w:val="24"/>
          <w:szCs w:val="24"/>
          <w:rtl/>
        </w:rPr>
        <w:t>. צדק: מהו המעשה הנכון שעלינ</w:t>
      </w:r>
      <w:r w:rsidR="00BB4AA1" w:rsidRPr="00286DE1">
        <w:rPr>
          <w:rFonts w:cs="David"/>
          <w:sz w:val="24"/>
          <w:szCs w:val="24"/>
          <w:rtl/>
        </w:rPr>
        <w:t xml:space="preserve">ו לעשות? </w:t>
      </w:r>
    </w:p>
    <w:p w:rsidR="00286DE1" w:rsidRPr="00286DE1" w:rsidRDefault="00BB4AA1" w:rsidP="00286DE1">
      <w:pPr>
        <w:spacing w:line="360" w:lineRule="auto"/>
        <w:ind w:left="-341"/>
        <w:rPr>
          <w:rFonts w:cs="David"/>
          <w:sz w:val="24"/>
          <w:szCs w:val="24"/>
          <w:rtl/>
        </w:rPr>
      </w:pPr>
      <w:r w:rsidRPr="00286DE1">
        <w:rPr>
          <w:rFonts w:cs="David" w:hint="cs"/>
          <w:sz w:val="24"/>
          <w:szCs w:val="24"/>
          <w:rtl/>
        </w:rPr>
        <w:lastRenderedPageBreak/>
        <w:t>ה</w:t>
      </w:r>
      <w:r w:rsidR="00C36B15" w:rsidRPr="00286DE1">
        <w:rPr>
          <w:rFonts w:cs="David"/>
          <w:sz w:val="24"/>
          <w:szCs w:val="24"/>
          <w:rtl/>
        </w:rPr>
        <w:t>צ</w:t>
      </w:r>
      <w:r w:rsidRPr="00286DE1">
        <w:rPr>
          <w:rFonts w:cs="David" w:hint="cs"/>
          <w:sz w:val="24"/>
          <w:szCs w:val="24"/>
          <w:rtl/>
        </w:rPr>
        <w:t>י</w:t>
      </w:r>
      <w:r w:rsidR="00C36B15" w:rsidRPr="00286DE1">
        <w:rPr>
          <w:rFonts w:cs="David"/>
          <w:sz w:val="24"/>
          <w:szCs w:val="24"/>
          <w:rtl/>
        </w:rPr>
        <w:t>ג</w:t>
      </w:r>
      <w:r w:rsidRPr="00286DE1">
        <w:rPr>
          <w:rFonts w:cs="David" w:hint="cs"/>
          <w:sz w:val="24"/>
          <w:szCs w:val="24"/>
          <w:rtl/>
        </w:rPr>
        <w:t>ו</w:t>
      </w:r>
      <w:r w:rsidR="00C36B15" w:rsidRPr="00286DE1">
        <w:rPr>
          <w:rFonts w:cs="David"/>
          <w:sz w:val="24"/>
          <w:szCs w:val="24"/>
          <w:rtl/>
        </w:rPr>
        <w:t xml:space="preserve"> נקודת דמיון אחת והצג הבדל אחד בין דעתו של אריסטו ובין דברי הרמב"ם </w:t>
      </w:r>
      <w:r w:rsidRPr="00286DE1">
        <w:rPr>
          <w:rFonts w:cs="David" w:hint="cs"/>
          <w:sz w:val="24"/>
          <w:szCs w:val="24"/>
          <w:rtl/>
        </w:rPr>
        <w:t>בפסקה טו</w:t>
      </w:r>
      <w:r w:rsidR="00C36B15" w:rsidRPr="00286DE1">
        <w:rPr>
          <w:rFonts w:cs="David"/>
          <w:sz w:val="24"/>
          <w:szCs w:val="24"/>
          <w:rtl/>
        </w:rPr>
        <w:t xml:space="preserve"> בנוגע לחינוך להרגלים</w:t>
      </w:r>
      <w:r w:rsidR="00C36B15" w:rsidRPr="00286DE1">
        <w:rPr>
          <w:rFonts w:cs="David"/>
          <w:sz w:val="24"/>
          <w:szCs w:val="24"/>
        </w:rPr>
        <w:t>.</w:t>
      </w:r>
    </w:p>
    <w:p w:rsidR="00BB4AA1" w:rsidRPr="00926A2C" w:rsidRDefault="00BB4AA1" w:rsidP="00286DE1">
      <w:pPr>
        <w:spacing w:line="360" w:lineRule="auto"/>
        <w:ind w:left="-341"/>
        <w:rPr>
          <w:rFonts w:cs="David" w:hint="cs"/>
          <w:sz w:val="24"/>
          <w:szCs w:val="24"/>
          <w:u w:val="single"/>
          <w:rtl/>
        </w:rPr>
      </w:pPr>
      <w:r w:rsidRPr="00926A2C">
        <w:rPr>
          <w:rFonts w:cs="David" w:hint="cs"/>
          <w:sz w:val="24"/>
          <w:szCs w:val="24"/>
          <w:u w:val="single"/>
          <w:rtl/>
        </w:rPr>
        <w:t xml:space="preserve">שאלות על הפרק החמישי: </w:t>
      </w:r>
    </w:p>
    <w:p w:rsidR="00926A2C" w:rsidRDefault="00BB4AA1" w:rsidP="00926A2C">
      <w:pPr>
        <w:pBdr>
          <w:top w:val="single" w:sz="4" w:space="1" w:color="auto"/>
          <w:left w:val="single" w:sz="4" w:space="4" w:color="auto"/>
          <w:bottom w:val="single" w:sz="4" w:space="1" w:color="auto"/>
          <w:right w:val="single" w:sz="4" w:space="4" w:color="auto"/>
        </w:pBdr>
        <w:spacing w:line="360" w:lineRule="auto"/>
        <w:ind w:left="-341"/>
        <w:rPr>
          <w:rFonts w:cs="David"/>
          <w:sz w:val="24"/>
          <w:szCs w:val="24"/>
          <w:rtl/>
        </w:rPr>
      </w:pPr>
      <w:r w:rsidRPr="00286DE1">
        <w:rPr>
          <w:rFonts w:cs="David" w:hint="cs"/>
          <w:sz w:val="24"/>
          <w:szCs w:val="24"/>
          <w:rtl/>
        </w:rPr>
        <w:t>בשעה שיתבונן האדם במעשיו וברואיו הנפלאים הגדולים, ויראה מהם חכמתו שאין לה ערך ולא קץ--מיד הוא אוהב ומשבח ומפאר ומתאווה תאווה גדולה לידע השם הגדול, כמו שאמר דויד "צמאה נפשי, לאלוהים--לאל חי</w:t>
      </w:r>
      <w:r w:rsidR="00286DE1" w:rsidRPr="00286DE1">
        <w:rPr>
          <w:rFonts w:cs="David"/>
          <w:sz w:val="24"/>
          <w:szCs w:val="24"/>
        </w:rPr>
        <w:t xml:space="preserve"> </w:t>
      </w:r>
      <w:r w:rsidR="00286DE1" w:rsidRPr="00286DE1">
        <w:rPr>
          <w:rFonts w:cs="David" w:hint="cs"/>
          <w:sz w:val="24"/>
          <w:szCs w:val="24"/>
          <w:rtl/>
        </w:rPr>
        <w:t xml:space="preserve"> (תהילים מ"ב) </w:t>
      </w:r>
    </w:p>
    <w:p w:rsidR="00286DE1" w:rsidRDefault="00286DE1" w:rsidP="00926A2C">
      <w:pPr>
        <w:pBdr>
          <w:top w:val="single" w:sz="4" w:space="1" w:color="auto"/>
          <w:left w:val="single" w:sz="4" w:space="4" w:color="auto"/>
          <w:bottom w:val="single" w:sz="4" w:space="1" w:color="auto"/>
          <w:right w:val="single" w:sz="4" w:space="4" w:color="auto"/>
        </w:pBdr>
        <w:spacing w:line="360" w:lineRule="auto"/>
        <w:ind w:left="-341"/>
        <w:rPr>
          <w:rFonts w:cs="David"/>
          <w:sz w:val="24"/>
          <w:szCs w:val="24"/>
          <w:rtl/>
        </w:rPr>
      </w:pPr>
      <w:r w:rsidRPr="00286DE1">
        <w:rPr>
          <w:rFonts w:cs="David" w:hint="cs"/>
          <w:sz w:val="24"/>
          <w:szCs w:val="24"/>
          <w:rtl/>
        </w:rPr>
        <w:t>ולפי הדברים האלו אני מבאר כללים גדולים ממעשה ריבון העולמים, כדי שיהיו פתח למבין לאהוב את השם, כמו שאמרו חכמים בעניין אהבה, שמתוך כך אתה מכיר את מי שאמר והיה העולם</w:t>
      </w:r>
      <w:r w:rsidRPr="00286DE1">
        <w:rPr>
          <w:rFonts w:cs="David" w:hint="cs"/>
          <w:sz w:val="24"/>
          <w:szCs w:val="24"/>
        </w:rPr>
        <w:t>.</w:t>
      </w:r>
      <w:r w:rsidRPr="00286DE1">
        <w:rPr>
          <w:rFonts w:cs="David" w:hint="cs"/>
          <w:sz w:val="24"/>
          <w:szCs w:val="24"/>
          <w:rtl/>
        </w:rPr>
        <w:t xml:space="preserve"> (את האל, שלפי סיפור הבריאה בתנ"ך ומסורות יהודיות אחרות, העולם נוצר בעקבות דיבורו) </w:t>
      </w:r>
    </w:p>
    <w:p w:rsidR="00926A2C" w:rsidRPr="00286DE1" w:rsidRDefault="00926A2C" w:rsidP="00926A2C">
      <w:pPr>
        <w:pBdr>
          <w:top w:val="single" w:sz="4" w:space="1" w:color="auto"/>
          <w:left w:val="single" w:sz="4" w:space="4" w:color="auto"/>
          <w:bottom w:val="single" w:sz="4" w:space="1" w:color="auto"/>
          <w:right w:val="single" w:sz="4" w:space="4" w:color="auto"/>
        </w:pBdr>
        <w:spacing w:line="360" w:lineRule="auto"/>
        <w:ind w:left="-341"/>
        <w:jc w:val="right"/>
        <w:rPr>
          <w:rFonts w:cs="David" w:hint="cs"/>
          <w:sz w:val="24"/>
          <w:szCs w:val="24"/>
          <w:rtl/>
        </w:rPr>
      </w:pPr>
      <w:r>
        <w:rPr>
          <w:rFonts w:cs="David" w:hint="cs"/>
          <w:sz w:val="24"/>
          <w:szCs w:val="24"/>
          <w:rtl/>
        </w:rPr>
        <w:t xml:space="preserve">משנה תורה, ספר המדע, הלכות יסודי התורה, פרק ב' </w:t>
      </w:r>
    </w:p>
    <w:p w:rsidR="00286DE1" w:rsidRDefault="00286DE1" w:rsidP="00926A2C">
      <w:pPr>
        <w:pStyle w:val="a3"/>
        <w:numPr>
          <w:ilvl w:val="0"/>
          <w:numId w:val="2"/>
        </w:numPr>
        <w:spacing w:line="360" w:lineRule="auto"/>
        <w:rPr>
          <w:rFonts w:cs="David"/>
          <w:sz w:val="24"/>
          <w:szCs w:val="24"/>
        </w:rPr>
      </w:pPr>
      <w:r w:rsidRPr="00286DE1">
        <w:rPr>
          <w:rFonts w:cs="David" w:hint="cs"/>
          <w:sz w:val="24"/>
          <w:szCs w:val="24"/>
          <w:rtl/>
        </w:rPr>
        <w:t xml:space="preserve">לאור קטע זה, כיצד יש לפרש את דברי הרמב"ם בפסקה א' "להשיג את האלוהים יתגדל ויתקדש כפי יכולת האדם, כלומר, לדעת אותו.? </w:t>
      </w:r>
    </w:p>
    <w:p w:rsidR="00926A2C" w:rsidRPr="00926A2C" w:rsidRDefault="00926A2C" w:rsidP="00926A2C">
      <w:pPr>
        <w:pStyle w:val="a3"/>
        <w:spacing w:line="360" w:lineRule="auto"/>
        <w:rPr>
          <w:rFonts w:cs="David"/>
          <w:sz w:val="24"/>
          <w:szCs w:val="24"/>
          <w:rtl/>
        </w:rPr>
      </w:pPr>
    </w:p>
    <w:p w:rsidR="00286DE1" w:rsidRPr="00286DE1" w:rsidRDefault="00286DE1" w:rsidP="00286DE1">
      <w:pPr>
        <w:pStyle w:val="a3"/>
        <w:numPr>
          <w:ilvl w:val="0"/>
          <w:numId w:val="2"/>
        </w:numPr>
        <w:spacing w:line="360" w:lineRule="auto"/>
        <w:rPr>
          <w:rFonts w:cs="David"/>
          <w:sz w:val="24"/>
          <w:szCs w:val="24"/>
          <w:rtl/>
        </w:rPr>
      </w:pPr>
      <w:r w:rsidRPr="00286DE1">
        <w:rPr>
          <w:rFonts w:cs="David" w:hint="cs"/>
          <w:sz w:val="24"/>
          <w:szCs w:val="24"/>
          <w:rtl/>
        </w:rPr>
        <w:t xml:space="preserve">לפי פסקה ב' </w:t>
      </w:r>
      <w:r w:rsidRPr="00286DE1">
        <w:rPr>
          <w:rFonts w:cs="David"/>
          <w:sz w:val="24"/>
          <w:szCs w:val="24"/>
          <w:rtl/>
        </w:rPr>
        <w:t>–</w:t>
      </w:r>
      <w:r w:rsidRPr="00286DE1">
        <w:rPr>
          <w:rFonts w:cs="David" w:hint="cs"/>
          <w:sz w:val="24"/>
          <w:szCs w:val="24"/>
          <w:rtl/>
        </w:rPr>
        <w:t xml:space="preserve"> האם מותר ל</w:t>
      </w:r>
      <w:r w:rsidR="00926A2C">
        <w:rPr>
          <w:rFonts w:cs="David" w:hint="cs"/>
          <w:sz w:val="24"/>
          <w:szCs w:val="24"/>
          <w:rtl/>
        </w:rPr>
        <w:t>י</w:t>
      </w:r>
      <w:r w:rsidRPr="00286DE1">
        <w:rPr>
          <w:rFonts w:cs="David" w:hint="cs"/>
          <w:sz w:val="24"/>
          <w:szCs w:val="24"/>
          <w:rtl/>
        </w:rPr>
        <w:t>הנ</w:t>
      </w:r>
      <w:bookmarkStart w:id="0" w:name="_GoBack"/>
      <w:bookmarkEnd w:id="0"/>
      <w:r w:rsidRPr="00286DE1">
        <w:rPr>
          <w:rFonts w:cs="David" w:hint="cs"/>
          <w:sz w:val="24"/>
          <w:szCs w:val="24"/>
          <w:rtl/>
        </w:rPr>
        <w:t xml:space="preserve">ות מהחיים? נמקו. </w:t>
      </w:r>
    </w:p>
    <w:p w:rsidR="00286DE1" w:rsidRPr="00286DE1" w:rsidRDefault="00286DE1" w:rsidP="00286DE1">
      <w:pPr>
        <w:spacing w:line="360" w:lineRule="auto"/>
        <w:ind w:left="-341"/>
        <w:rPr>
          <w:rFonts w:cs="David"/>
          <w:sz w:val="24"/>
          <w:szCs w:val="24"/>
          <w:rtl/>
        </w:rPr>
      </w:pPr>
    </w:p>
    <w:p w:rsidR="00286DE1" w:rsidRPr="00286DE1" w:rsidRDefault="00286DE1" w:rsidP="00286DE1">
      <w:pPr>
        <w:pStyle w:val="a3"/>
        <w:numPr>
          <w:ilvl w:val="0"/>
          <w:numId w:val="2"/>
        </w:numPr>
        <w:spacing w:line="360" w:lineRule="auto"/>
        <w:rPr>
          <w:rFonts w:cs="David" w:hint="cs"/>
          <w:sz w:val="24"/>
          <w:szCs w:val="24"/>
          <w:rtl/>
        </w:rPr>
      </w:pPr>
      <w:r w:rsidRPr="00286DE1">
        <w:rPr>
          <w:rFonts w:cs="David" w:hint="cs"/>
          <w:sz w:val="24"/>
          <w:szCs w:val="24"/>
          <w:rtl/>
        </w:rPr>
        <w:t xml:space="preserve">שאלת סיכום: </w:t>
      </w:r>
    </w:p>
    <w:p w:rsidR="00286DE1" w:rsidRPr="00286DE1" w:rsidRDefault="00286DE1" w:rsidP="00926A2C">
      <w:pPr>
        <w:pStyle w:val="a3"/>
        <w:numPr>
          <w:ilvl w:val="0"/>
          <w:numId w:val="5"/>
        </w:numPr>
        <w:spacing w:line="360" w:lineRule="auto"/>
        <w:ind w:left="509"/>
        <w:rPr>
          <w:rFonts w:cs="David" w:hint="cs"/>
          <w:sz w:val="24"/>
          <w:szCs w:val="24"/>
        </w:rPr>
      </w:pPr>
      <w:r w:rsidRPr="00286DE1">
        <w:rPr>
          <w:rFonts w:cs="David" w:hint="cs"/>
          <w:sz w:val="24"/>
          <w:szCs w:val="24"/>
          <w:rtl/>
        </w:rPr>
        <w:t xml:space="preserve">לפי הפרק הרביעי, מהו הקריטריון שלפיו יש לקבוע האם מעשה מסוים הוא טוב או רע? </w:t>
      </w:r>
    </w:p>
    <w:p w:rsidR="00286DE1" w:rsidRPr="00286DE1" w:rsidRDefault="00286DE1" w:rsidP="00926A2C">
      <w:pPr>
        <w:pStyle w:val="a3"/>
        <w:numPr>
          <w:ilvl w:val="0"/>
          <w:numId w:val="5"/>
        </w:numPr>
        <w:spacing w:line="360" w:lineRule="auto"/>
        <w:ind w:left="509"/>
        <w:rPr>
          <w:rFonts w:cs="David"/>
          <w:sz w:val="24"/>
          <w:szCs w:val="24"/>
        </w:rPr>
      </w:pPr>
      <w:r w:rsidRPr="00286DE1">
        <w:rPr>
          <w:rFonts w:cs="David" w:hint="cs"/>
          <w:sz w:val="24"/>
          <w:szCs w:val="24"/>
          <w:rtl/>
        </w:rPr>
        <w:t>לפי הפרק החמישי, מהו הקריטריון שלפיו יש לקבוע האם מעשה מסוים הוא טוב או רע?</w:t>
      </w:r>
    </w:p>
    <w:p w:rsidR="00286DE1" w:rsidRPr="00286DE1" w:rsidRDefault="00286DE1" w:rsidP="00926A2C">
      <w:pPr>
        <w:pStyle w:val="a3"/>
        <w:numPr>
          <w:ilvl w:val="0"/>
          <w:numId w:val="5"/>
        </w:numPr>
        <w:spacing w:line="360" w:lineRule="auto"/>
        <w:ind w:left="509"/>
        <w:rPr>
          <w:rFonts w:cs="David" w:hint="cs"/>
          <w:sz w:val="24"/>
          <w:szCs w:val="24"/>
          <w:rtl/>
        </w:rPr>
      </w:pPr>
      <w:r w:rsidRPr="00286DE1">
        <w:rPr>
          <w:rFonts w:cs="David" w:hint="cs"/>
          <w:sz w:val="24"/>
          <w:szCs w:val="24"/>
          <w:rtl/>
        </w:rPr>
        <w:t xml:space="preserve">מהי  הסתירה בין שני הפרקים,  נסו ליישב אותה.  </w:t>
      </w:r>
    </w:p>
    <w:sectPr w:rsidR="00286DE1" w:rsidRPr="00286DE1" w:rsidSect="00524E7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9044A"/>
    <w:multiLevelType w:val="hybridMultilevel"/>
    <w:tmpl w:val="EB8AB5D2"/>
    <w:lvl w:ilvl="0" w:tplc="CC6E2234">
      <w:start w:val="1"/>
      <w:numFmt w:val="hebrew1"/>
      <w:lvlText w:val="%1."/>
      <w:lvlJc w:val="left"/>
      <w:pPr>
        <w:ind w:left="19" w:hanging="360"/>
      </w:pPr>
      <w:rPr>
        <w:rFonts w:cs="David" w:hint="default"/>
        <w:color w:val="auto"/>
        <w:sz w:val="30"/>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 w15:restartNumberingAfterBreak="0">
    <w:nsid w:val="26473873"/>
    <w:multiLevelType w:val="hybridMultilevel"/>
    <w:tmpl w:val="5D0641A6"/>
    <w:lvl w:ilvl="0" w:tplc="A872CC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A76EB"/>
    <w:multiLevelType w:val="hybridMultilevel"/>
    <w:tmpl w:val="40A66FF8"/>
    <w:lvl w:ilvl="0" w:tplc="99D02B8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F3066B"/>
    <w:multiLevelType w:val="hybridMultilevel"/>
    <w:tmpl w:val="D5385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71F31"/>
    <w:multiLevelType w:val="hybridMultilevel"/>
    <w:tmpl w:val="A2EA903E"/>
    <w:lvl w:ilvl="0" w:tplc="2F5C24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15"/>
    <w:rsid w:val="00286DE1"/>
    <w:rsid w:val="00524E77"/>
    <w:rsid w:val="00926A2C"/>
    <w:rsid w:val="00A37CF4"/>
    <w:rsid w:val="00BB4AA1"/>
    <w:rsid w:val="00C36B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7403"/>
  <w15:chartTrackingRefBased/>
  <w15:docId w15:val="{BF234A29-3742-4619-828A-D186DA4E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C36B1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C36B15"/>
    <w:pPr>
      <w:ind w:left="720"/>
      <w:contextualSpacing/>
    </w:pPr>
  </w:style>
  <w:style w:type="character" w:styleId="Hyperlink">
    <w:name w:val="Hyperlink"/>
    <w:basedOn w:val="a0"/>
    <w:uiPriority w:val="99"/>
    <w:semiHidden/>
    <w:unhideWhenUsed/>
    <w:rsid w:val="00BB4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9565">
      <w:bodyDiv w:val="1"/>
      <w:marLeft w:val="0"/>
      <w:marRight w:val="0"/>
      <w:marTop w:val="0"/>
      <w:marBottom w:val="0"/>
      <w:divBdr>
        <w:top w:val="none" w:sz="0" w:space="0" w:color="auto"/>
        <w:left w:val="none" w:sz="0" w:space="0" w:color="auto"/>
        <w:bottom w:val="none" w:sz="0" w:space="0" w:color="auto"/>
        <w:right w:val="none" w:sz="0" w:space="0" w:color="auto"/>
      </w:divBdr>
    </w:div>
    <w:div w:id="196661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403</Words>
  <Characters>2019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cp:revision>
  <dcterms:created xsi:type="dcterms:W3CDTF">2017-11-08T12:12:00Z</dcterms:created>
  <dcterms:modified xsi:type="dcterms:W3CDTF">2017-11-08T12:51:00Z</dcterms:modified>
</cp:coreProperties>
</file>